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CFD7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63465" w14:paraId="66751837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5031E76E" w14:textId="77777777" w:rsidR="00A63465" w:rsidRPr="00413336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 w:rsidRPr="00413336">
              <w:rPr>
                <w:b/>
                <w:sz w:val="18"/>
              </w:rPr>
              <w:t>Klauzula informacyjna dot. przetwarzania danych osobowych w</w:t>
            </w:r>
            <w:r w:rsidRPr="00413336">
              <w:rPr>
                <w:b/>
                <w:spacing w:val="-4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związku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ustawą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dnia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5</w:t>
            </w:r>
            <w:r w:rsidRPr="00413336">
              <w:rPr>
                <w:b/>
                <w:spacing w:val="-4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stycznia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2011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r.</w:t>
            </w:r>
            <w:r w:rsidRPr="00413336">
              <w:rPr>
                <w:b/>
                <w:spacing w:val="40"/>
                <w:sz w:val="18"/>
              </w:rPr>
              <w:t xml:space="preserve"> </w:t>
            </w:r>
            <w:r w:rsidRPr="00413336">
              <w:rPr>
                <w:b/>
                <w:i/>
                <w:sz w:val="18"/>
              </w:rPr>
              <w:t>Kodeks</w:t>
            </w:r>
            <w:r w:rsidRPr="00413336">
              <w:rPr>
                <w:b/>
                <w:i/>
                <w:spacing w:val="-3"/>
                <w:sz w:val="18"/>
              </w:rPr>
              <w:t xml:space="preserve"> </w:t>
            </w:r>
            <w:r w:rsidRPr="00413336">
              <w:rPr>
                <w:b/>
                <w:i/>
                <w:sz w:val="18"/>
              </w:rPr>
              <w:t>wyborczy</w:t>
            </w:r>
          </w:p>
          <w:p w14:paraId="3B131764" w14:textId="16B960A3" w:rsidR="00E37D58" w:rsidRPr="00413336" w:rsidRDefault="00E37D58" w:rsidP="00E37D58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 w:rsidRPr="00413336">
              <w:rPr>
                <w:b/>
                <w:sz w:val="18"/>
              </w:rPr>
              <w:t>w Centralnym Rejestrze Wyborców</w:t>
            </w:r>
          </w:p>
        </w:tc>
      </w:tr>
      <w:tr w:rsidR="00A63465" w14:paraId="35B8E45C" w14:textId="77777777">
        <w:trPr>
          <w:trHeight w:val="5700"/>
        </w:trPr>
        <w:tc>
          <w:tcPr>
            <w:tcW w:w="2296" w:type="dxa"/>
            <w:shd w:val="clear" w:color="auto" w:fill="D9D9D9"/>
          </w:tcPr>
          <w:p w14:paraId="352EDB5C" w14:textId="77777777" w:rsidR="00A6346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61A2290B" w14:textId="77777777" w:rsidR="00A63465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</w:tcPr>
          <w:p w14:paraId="250D75EC" w14:textId="77777777" w:rsidR="00A63465" w:rsidRPr="00413336" w:rsidRDefault="00000000">
            <w:pPr>
              <w:pStyle w:val="TableParagraph"/>
              <w:jc w:val="both"/>
              <w:rPr>
                <w:sz w:val="18"/>
              </w:rPr>
            </w:pPr>
            <w:r w:rsidRPr="00413336">
              <w:rPr>
                <w:spacing w:val="-2"/>
                <w:sz w:val="18"/>
              </w:rPr>
              <w:t>Administratorami</w:t>
            </w:r>
            <w:r w:rsidRPr="00413336">
              <w:rPr>
                <w:spacing w:val="17"/>
                <w:sz w:val="18"/>
              </w:rPr>
              <w:t xml:space="preserve"> </w:t>
            </w:r>
            <w:r w:rsidRPr="00413336">
              <w:rPr>
                <w:spacing w:val="-5"/>
                <w:sz w:val="18"/>
              </w:rPr>
              <w:t>są:</w:t>
            </w:r>
          </w:p>
          <w:p w14:paraId="107199EE" w14:textId="6C4C9F09" w:rsidR="00A63465" w:rsidRPr="00413336" w:rsidRDefault="00000000" w:rsidP="00CC1DFD">
            <w:pPr>
              <w:pStyle w:val="Akapitzlist"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</w:rPr>
            </w:pPr>
            <w:r w:rsidRPr="00413336">
              <w:rPr>
                <w:rFonts w:ascii="Arial" w:hAnsi="Arial" w:cs="Arial"/>
                <w:sz w:val="18"/>
              </w:rPr>
              <w:t xml:space="preserve">Burmistrz </w:t>
            </w:r>
            <w:r w:rsidR="00CC1DFD" w:rsidRPr="00413336">
              <w:rPr>
                <w:rFonts w:ascii="Arial" w:hAnsi="Arial" w:cs="Arial"/>
                <w:sz w:val="18"/>
              </w:rPr>
              <w:t>M</w:t>
            </w:r>
            <w:r w:rsidRPr="00413336">
              <w:rPr>
                <w:rFonts w:ascii="Arial" w:hAnsi="Arial" w:cs="Arial"/>
                <w:sz w:val="18"/>
              </w:rPr>
              <w:t xml:space="preserve">iasta </w:t>
            </w:r>
            <w:r w:rsidR="00CC1DFD" w:rsidRPr="00413336">
              <w:rPr>
                <w:rFonts w:ascii="Arial" w:hAnsi="Arial" w:cs="Arial"/>
                <w:sz w:val="18"/>
              </w:rPr>
              <w:t>Podkowa Leśna</w:t>
            </w:r>
            <w:r w:rsidR="00CC1DFD" w:rsidRPr="00413336">
              <w:rPr>
                <w:sz w:val="18"/>
              </w:rPr>
              <w:t xml:space="preserve"> </w:t>
            </w:r>
            <w:r w:rsidR="00CC1DFD" w:rsidRPr="00413336">
              <w:rPr>
                <w:rFonts w:ascii="Arial" w:eastAsia="Arial" w:hAnsi="Arial" w:cs="Arial"/>
                <w:sz w:val="18"/>
              </w:rPr>
              <w:t xml:space="preserve">ul. Akacjowa 39/41, 05-807 Podkowa Leśna, 22 75 92 100, e-mail: </w:t>
            </w:r>
            <w:hyperlink r:id="rId5" w:history="1">
              <w:r w:rsidR="00CC1DFD" w:rsidRPr="00413336">
                <w:rPr>
                  <w:rStyle w:val="Hipercze"/>
                  <w:rFonts w:ascii="Arial" w:eastAsia="Arial" w:hAnsi="Arial" w:cs="Arial"/>
                  <w:color w:val="auto"/>
                  <w:sz w:val="18"/>
                </w:rPr>
                <w:t>urzadmiasta@podkowalesna.pl</w:t>
              </w:r>
            </w:hyperlink>
            <w:r w:rsidR="00CC1DFD" w:rsidRPr="00413336">
              <w:rPr>
                <w:rFonts w:ascii="Arial" w:eastAsia="Arial" w:hAnsi="Arial" w:cs="Arial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– w zakresie rejestracji w Centralnym Rejestrze Wyborców danych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wpływających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na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realizację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prawa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wybierania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>i</w:t>
            </w:r>
            <w:r w:rsidRPr="00413336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413336">
              <w:rPr>
                <w:rFonts w:ascii="Arial" w:hAnsi="Arial" w:cs="Arial"/>
                <w:sz w:val="18"/>
              </w:rPr>
              <w:t xml:space="preserve">przechowywanej przez Burmistrza </w:t>
            </w:r>
            <w:r w:rsidR="00CC1DFD" w:rsidRPr="00413336">
              <w:rPr>
                <w:rFonts w:ascii="Arial" w:hAnsi="Arial" w:cs="Arial"/>
                <w:sz w:val="18"/>
              </w:rPr>
              <w:t>Mi</w:t>
            </w:r>
            <w:r w:rsidRPr="00413336">
              <w:rPr>
                <w:rFonts w:ascii="Arial" w:hAnsi="Arial" w:cs="Arial"/>
                <w:sz w:val="18"/>
              </w:rPr>
              <w:t>asta dokumentacji pisemnej;</w:t>
            </w:r>
          </w:p>
          <w:p w14:paraId="712B05F7" w14:textId="2083687F" w:rsidR="00A63465" w:rsidRPr="004133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413336">
              <w:rPr>
                <w:sz w:val="18"/>
              </w:rPr>
              <w:t>Konsul RP</w:t>
            </w:r>
            <w:r w:rsidR="00CC1DFD" w:rsidRPr="00413336">
              <w:rPr>
                <w:sz w:val="18"/>
              </w:rPr>
              <w:t xml:space="preserve"> </w:t>
            </w:r>
            <w:r w:rsidRPr="00413336">
              <w:rPr>
                <w:sz w:val="18"/>
              </w:rPr>
              <w:t>– w zakresie rejestracji w Centralnym Rejestrze Wyborców danych co do adresu przebywania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w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stosunku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do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wyborców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głosujących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poza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granicami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kraju oraz przechowywanej przez Konsula dokumentacji pisemnej;</w:t>
            </w:r>
          </w:p>
          <w:p w14:paraId="1A90D203" w14:textId="77777777" w:rsidR="00A63465" w:rsidRPr="004133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informacje o zgłoszeniu chęci głosowania w wyborach do Parlamentu Europejskiego przeprowadzanych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przez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inne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państwo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członkowskie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Unii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Europejskiej;</w:t>
            </w:r>
          </w:p>
          <w:p w14:paraId="40D58B8A" w14:textId="77777777" w:rsidR="00A63465" w:rsidRPr="004133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 w14:paraId="5B570DCA" w14:textId="77777777" w:rsidR="00A63465" w:rsidRPr="004133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Spraw Zagranicznych mający siedzibę w Warszawie (00-580) przy ul. J.Ch. Szucha 23</w:t>
            </w:r>
            <w:r w:rsidRPr="00413336">
              <w:rPr>
                <w:spacing w:val="40"/>
                <w:sz w:val="18"/>
              </w:rPr>
              <w:t xml:space="preserve"> </w:t>
            </w:r>
            <w:r w:rsidRPr="00413336">
              <w:rPr>
                <w:sz w:val="18"/>
              </w:rPr>
              <w:t>– zapewnia funkcjonowanie poza granicami kraju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wydzielonej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sieci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umożliwiającej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konsulom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dostęp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do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Centralnego Rejestru Wyborców.</w:t>
            </w:r>
          </w:p>
        </w:tc>
      </w:tr>
      <w:tr w:rsidR="00A63465" w14:paraId="44FBBD90" w14:textId="77777777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111D7F6E" w14:textId="77777777" w:rsidR="00A63465" w:rsidRDefault="00000000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2" w:type="dxa"/>
            <w:tcBorders>
              <w:bottom w:val="nil"/>
            </w:tcBorders>
          </w:tcPr>
          <w:p w14:paraId="33AE68EB" w14:textId="11956181" w:rsidR="00A63465" w:rsidRDefault="00000000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CC1DFD"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Burmistrzem</w:t>
            </w:r>
            <w:r>
              <w:rPr>
                <w:spacing w:val="40"/>
                <w:sz w:val="18"/>
              </w:rPr>
              <w:t xml:space="preserve"> </w:t>
            </w:r>
            <w:r w:rsidR="00CC1DFD">
              <w:rPr>
                <w:sz w:val="18"/>
              </w:rPr>
              <w:t>M</w:t>
            </w:r>
            <w:r>
              <w:rPr>
                <w:sz w:val="18"/>
              </w:rPr>
              <w:t>iasta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skontaktować pisemnie na adres siedziby administratora.</w:t>
            </w:r>
          </w:p>
        </w:tc>
      </w:tr>
      <w:tr w:rsidR="00A63465" w14:paraId="3F4D0ED6" w14:textId="77777777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8A40E04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18BA549F" w14:textId="77777777" w:rsidR="00A63465" w:rsidRDefault="00000000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6">
              <w:r>
                <w:rPr>
                  <w:sz w:val="18"/>
                  <w:u w:val="single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010C2587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A3EEEA1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2B554386" w14:textId="77777777" w:rsidR="00A63465" w:rsidRDefault="00000000">
            <w:pPr>
              <w:pStyle w:val="TableParagraph"/>
              <w:spacing w:before="131" w:line="27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7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7A0FC414" w14:textId="77777777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4A086836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1F5B4525" w14:textId="77777777" w:rsidR="00CC1DFD" w:rsidRDefault="00000000" w:rsidP="00CC1DFD">
            <w:pPr>
              <w:pStyle w:val="TableParagraph"/>
              <w:spacing w:before="131" w:line="276" w:lineRule="auto"/>
              <w:ind w:right="96"/>
              <w:jc w:val="both"/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8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 stronie:</w:t>
            </w:r>
            <w:r w:rsidR="00E37D58">
              <w:t xml:space="preserve"> </w:t>
            </w:r>
          </w:p>
          <w:p w14:paraId="3F92B3FD" w14:textId="0A79213A" w:rsidR="00A63465" w:rsidRDefault="00000000" w:rsidP="00CC1DFD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hyperlink r:id="rId9" w:history="1">
              <w:r w:rsidR="00CC1DFD" w:rsidRPr="00CC1DFD">
                <w:rPr>
                  <w:rStyle w:val="Hipercze"/>
                  <w:color w:val="0070C0"/>
                  <w:sz w:val="18"/>
                </w:rPr>
                <w:t>https://www.gov.pl/web/dyplomacja/polskie-przedstawicielstwa-na-</w:t>
              </w:r>
            </w:hyperlink>
            <w:r w:rsidR="00CC1DFD" w:rsidRPr="00CC1DFD">
              <w:rPr>
                <w:color w:val="0070C0"/>
                <w:sz w:val="18"/>
                <w:u w:val="single"/>
              </w:rPr>
              <w:t>swiecie</w:t>
            </w:r>
            <w:r w:rsidR="00CC1DFD">
              <w:rPr>
                <w:sz w:val="18"/>
              </w:rPr>
              <w:t xml:space="preserve"> .</w:t>
            </w:r>
          </w:p>
        </w:tc>
      </w:tr>
      <w:tr w:rsidR="00A63465" w14:paraId="059D2F2E" w14:textId="77777777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49E224EE" w14:textId="77777777" w:rsidR="00A63465" w:rsidRDefault="00000000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6622" w:type="dxa"/>
            <w:tcBorders>
              <w:bottom w:val="nil"/>
            </w:tcBorders>
          </w:tcPr>
          <w:p w14:paraId="03AFAD6F" w14:textId="61D5C507" w:rsidR="00A63465" w:rsidRDefault="00000000" w:rsidP="005B0317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Administrator – Burmistrz </w:t>
            </w:r>
            <w:r w:rsidR="00CC1DFD">
              <w:rPr>
                <w:sz w:val="18"/>
              </w:rPr>
              <w:t>M</w:t>
            </w:r>
            <w:r>
              <w:rPr>
                <w:sz w:val="18"/>
              </w:rPr>
              <w:t>iasta wyznaczył inspektora ochrony danych, 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się kontaktować </w:t>
            </w:r>
            <w:r w:rsidR="00CC1DFD" w:rsidRPr="00CC1DFD">
              <w:rPr>
                <w:sz w:val="18"/>
              </w:rPr>
              <w:t xml:space="preserve">pisemnie, za pomocą poczty tradycyjnej na adres: </w:t>
            </w:r>
            <w:r w:rsidR="005B0317">
              <w:rPr>
                <w:sz w:val="18"/>
              </w:rPr>
              <w:br/>
            </w:r>
            <w:r w:rsidR="00CC1DFD" w:rsidRPr="00CC1DFD">
              <w:rPr>
                <w:sz w:val="18"/>
              </w:rPr>
              <w:t>ul. Akacjowa 39/41, 05</w:t>
            </w:r>
            <w:r w:rsidR="00CC1DFD">
              <w:rPr>
                <w:sz w:val="18"/>
              </w:rPr>
              <w:t>-</w:t>
            </w:r>
            <w:r w:rsidR="00CC1DFD" w:rsidRPr="00CC1DFD">
              <w:rPr>
                <w:sz w:val="18"/>
              </w:rPr>
              <w:t xml:space="preserve">807 Podkowa Leśna lub </w:t>
            </w:r>
            <w:r w:rsidR="00CC1DFD">
              <w:rPr>
                <w:sz w:val="18"/>
              </w:rPr>
              <w:t xml:space="preserve">poprzez </w:t>
            </w:r>
            <w:r w:rsidR="00CC1DFD" w:rsidRPr="00CC1DFD">
              <w:rPr>
                <w:sz w:val="18"/>
              </w:rPr>
              <w:t>e</w:t>
            </w:r>
            <w:r w:rsidR="00CC1DFD">
              <w:rPr>
                <w:sz w:val="18"/>
              </w:rPr>
              <w:t>-</w:t>
            </w:r>
            <w:r w:rsidR="00CC1DFD" w:rsidRPr="00CC1DFD">
              <w:rPr>
                <w:sz w:val="18"/>
              </w:rPr>
              <w:t xml:space="preserve">mail: </w:t>
            </w:r>
            <w:r w:rsidR="00CC1DFD" w:rsidRPr="005B0317">
              <w:rPr>
                <w:color w:val="0070C0"/>
                <w:sz w:val="18"/>
                <w:u w:val="single"/>
              </w:rPr>
              <w:t>iod@podkowalesna.pl</w:t>
            </w:r>
            <w:r w:rsidR="00CC1DFD">
              <w:rPr>
                <w:sz w:val="18"/>
              </w:rPr>
              <w:t>.</w:t>
            </w:r>
          </w:p>
        </w:tc>
      </w:tr>
      <w:tr w:rsidR="00A63465" w14:paraId="7E43DEC4" w14:textId="77777777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A279F7F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5D1EB648" w14:textId="370B0905" w:rsidR="00A63465" w:rsidRDefault="00000000">
            <w:pPr>
              <w:pStyle w:val="TableParagraph"/>
              <w:spacing w:before="43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Cyfryzacji wyznaczył inspektora ochrony danych, 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</w:t>
            </w:r>
            <w:r w:rsidR="00CC1DFD">
              <w:rPr>
                <w:sz w:val="18"/>
              </w:rPr>
              <w:t>ę</w:t>
            </w:r>
            <w:r>
              <w:rPr>
                <w:sz w:val="18"/>
              </w:rPr>
              <w:t xml:space="preserve"> kontaktować, we wszystkich sprawach związanych 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2"/>
                <w:sz w:val="18"/>
              </w:rPr>
              <w:t xml:space="preserve"> </w:t>
            </w:r>
            <w:hyperlink r:id="rId10">
              <w:r>
                <w:rPr>
                  <w:sz w:val="18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A63465" w14:paraId="08BA4B30" w14:textId="77777777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CC5F3A7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  <w:bottom w:val="nil"/>
            </w:tcBorders>
          </w:tcPr>
          <w:p w14:paraId="2120F741" w14:textId="6D5C790D" w:rsidR="00A63465" w:rsidRDefault="00000000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Wewnętrznych i Administracji wyznaczył inspektora ochrony danych, 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się kontaktować poprzez email </w:t>
            </w:r>
            <w:hyperlink r:id="rId11">
              <w:r>
                <w:rPr>
                  <w:sz w:val="18"/>
                  <w:u w:val="single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37ED1433" w14:textId="77777777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6DE32A5B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  <w:tcBorders>
              <w:top w:val="nil"/>
            </w:tcBorders>
          </w:tcPr>
          <w:p w14:paraId="3EDCCE8F" w14:textId="77777777" w:rsidR="00A63465" w:rsidRDefault="00000000">
            <w:pPr>
              <w:pStyle w:val="TableParagraph"/>
              <w:spacing w:before="131" w:line="276" w:lineRule="auto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1D2CB09C" w14:textId="77777777" w:rsidR="00A63465" w:rsidRDefault="00A63465">
      <w:pPr>
        <w:spacing w:line="276" w:lineRule="auto"/>
        <w:rPr>
          <w:sz w:val="18"/>
        </w:rPr>
        <w:sectPr w:rsidR="00A63465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6802078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63465" w14:paraId="6DBA3761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69AD9C32" w14:textId="77777777" w:rsidR="00A63465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  <w:p w14:paraId="0C6A8698" w14:textId="7C57E569" w:rsidR="00413336" w:rsidRDefault="00413336" w:rsidP="00413336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 w:rsidRPr="00413336">
              <w:rPr>
                <w:b/>
                <w:iCs/>
                <w:sz w:val="18"/>
              </w:rPr>
              <w:t>w</w:t>
            </w:r>
            <w:r w:rsidRPr="00413336">
              <w:rPr>
                <w:b/>
                <w:i/>
                <w:sz w:val="18"/>
              </w:rPr>
              <w:t xml:space="preserve"> </w:t>
            </w:r>
            <w:r w:rsidRPr="00413336">
              <w:rPr>
                <w:b/>
                <w:iCs/>
                <w:sz w:val="18"/>
              </w:rPr>
              <w:t>Centralnym Rejestrze Wyborców</w:t>
            </w:r>
          </w:p>
        </w:tc>
      </w:tr>
      <w:tr w:rsidR="00A63465" w14:paraId="787633DC" w14:textId="77777777" w:rsidTr="00B76DE9">
        <w:trPr>
          <w:trHeight w:val="1947"/>
        </w:trPr>
        <w:tc>
          <w:tcPr>
            <w:tcW w:w="2296" w:type="dxa"/>
            <w:shd w:val="clear" w:color="auto" w:fill="D9D9D9"/>
          </w:tcPr>
          <w:p w14:paraId="1BEB6CFE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31C0FD5A" w14:textId="3C8A6A66" w:rsidR="00A63465" w:rsidRDefault="00000000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inspektora ochrony danych, 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się kontaktować poprzez email: </w:t>
            </w:r>
            <w:hyperlink r:id="rId12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53C43E8F" w14:textId="77777777" w:rsidR="00A63465" w:rsidRDefault="00A6346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AA0DE20" w14:textId="77777777" w:rsidR="00A63465" w:rsidRDefault="00000000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A63465" w14:paraId="2641A01B" w14:textId="77777777">
        <w:trPr>
          <w:trHeight w:val="5260"/>
        </w:trPr>
        <w:tc>
          <w:tcPr>
            <w:tcW w:w="2296" w:type="dxa"/>
            <w:shd w:val="clear" w:color="auto" w:fill="D9D9D9"/>
          </w:tcPr>
          <w:p w14:paraId="69B06EA3" w14:textId="77777777" w:rsidR="00A63465" w:rsidRDefault="00000000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6622" w:type="dxa"/>
          </w:tcPr>
          <w:p w14:paraId="30915CD3" w14:textId="77777777" w:rsidR="00A63465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późn. zm.) (dalej: RODO) w związku z przepisem szczególnym ustawy;</w:t>
            </w:r>
          </w:p>
          <w:p w14:paraId="53A2DCEC" w14:textId="71E6DF79" w:rsidR="00A634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Burmistrza </w:t>
            </w:r>
            <w:r w:rsidR="00413336">
              <w:rPr>
                <w:sz w:val="18"/>
              </w:rPr>
              <w:t>M</w:t>
            </w:r>
            <w:r>
              <w:rPr>
                <w:sz w:val="18"/>
              </w:rPr>
              <w:t>iasta 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 497)</w:t>
            </w:r>
          </w:p>
          <w:p w14:paraId="2A023482" w14:textId="77777777" w:rsidR="00A634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31A532D9" w14:textId="77777777" w:rsidR="00A634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 3 ustawy z dnia 5 stycznia 2011 r. – Kodeks wyborczy oraz w celu utrzymania i rozwoju rejestru</w:t>
            </w:r>
          </w:p>
          <w:p w14:paraId="299C7D95" w14:textId="77777777" w:rsidR="00A63465" w:rsidRDefault="00A63465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738A934B" w14:textId="77777777" w:rsidR="00A63465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A63465" w14:paraId="3751012B" w14:textId="77777777">
        <w:trPr>
          <w:trHeight w:val="1440"/>
        </w:trPr>
        <w:tc>
          <w:tcPr>
            <w:tcW w:w="2296" w:type="dxa"/>
            <w:shd w:val="clear" w:color="auto" w:fill="D9D9D9"/>
          </w:tcPr>
          <w:p w14:paraId="3EA7E907" w14:textId="77777777" w:rsidR="00A6346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4AA37461" w14:textId="77777777" w:rsidR="00A63465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7BB487F9" w14:textId="77777777" w:rsidR="00A634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57D15A62" w14:textId="77777777" w:rsidR="00A634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1585566B" w14:textId="77777777" w:rsidR="00A63465" w:rsidRDefault="00000000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A63465" w14:paraId="08F70EF1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39A68E3C" w14:textId="77777777" w:rsidR="00A63465" w:rsidRDefault="00000000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6622" w:type="dxa"/>
          </w:tcPr>
          <w:p w14:paraId="45AB75CE" w14:textId="77777777" w:rsidR="00A63465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5DD329CA" w14:textId="77777777" w:rsidR="00A63465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 praw.</w:t>
            </w:r>
          </w:p>
        </w:tc>
      </w:tr>
      <w:tr w:rsidR="00A63465" w14:paraId="5A02198B" w14:textId="77777777">
        <w:trPr>
          <w:trHeight w:val="2606"/>
        </w:trPr>
        <w:tc>
          <w:tcPr>
            <w:tcW w:w="2296" w:type="dxa"/>
            <w:shd w:val="clear" w:color="auto" w:fill="D9D9D9"/>
          </w:tcPr>
          <w:p w14:paraId="0904DDE4" w14:textId="77777777" w:rsidR="00A6346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1AC118FF" w14:textId="77777777" w:rsidR="00A63465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7CE8A5B5" w14:textId="77777777" w:rsidR="00A63465" w:rsidRDefault="00A6346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0429FE01" w14:textId="77777777" w:rsidR="00A63465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</w:p>
        </w:tc>
      </w:tr>
    </w:tbl>
    <w:p w14:paraId="1D9AD7A5" w14:textId="77777777" w:rsidR="00A63465" w:rsidRDefault="00A63465">
      <w:pPr>
        <w:spacing w:line="276" w:lineRule="auto"/>
        <w:jc w:val="both"/>
        <w:rPr>
          <w:sz w:val="18"/>
        </w:rPr>
        <w:sectPr w:rsidR="00A63465">
          <w:pgSz w:w="11910" w:h="16840"/>
          <w:pgMar w:top="1200" w:right="1440" w:bottom="280" w:left="1300" w:header="708" w:footer="708" w:gutter="0"/>
          <w:cols w:space="708"/>
        </w:sectPr>
      </w:pPr>
    </w:p>
    <w:p w14:paraId="584F88DE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63465" w14:paraId="5879233A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4236460A" w14:textId="77777777" w:rsidR="00A63465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  <w:p w14:paraId="7E4281C3" w14:textId="44CBBA3B" w:rsidR="00413336" w:rsidRDefault="00413336" w:rsidP="00413336">
            <w:pPr>
              <w:pStyle w:val="TableParagraph"/>
              <w:ind w:left="1768" w:right="1703" w:firstLine="65"/>
              <w:jc w:val="center"/>
              <w:rPr>
                <w:b/>
                <w:i/>
                <w:sz w:val="18"/>
              </w:rPr>
            </w:pPr>
            <w:r w:rsidRPr="00413336">
              <w:rPr>
                <w:b/>
                <w:sz w:val="18"/>
              </w:rPr>
              <w:t>w Centralnym Rejestrze Wyborców</w:t>
            </w:r>
          </w:p>
        </w:tc>
      </w:tr>
      <w:tr w:rsidR="00A63465" w14:paraId="450E4817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3A495EFB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2BCDA724" w14:textId="77777777" w:rsidR="00A63465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obywatelstwa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uprawniającego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głosowania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Polsce.</w:t>
            </w:r>
          </w:p>
          <w:p w14:paraId="0B91CF65" w14:textId="77777777" w:rsidR="00A63465" w:rsidRDefault="00A63465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73CE1BD2" w14:textId="77777777" w:rsidR="00A63465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A63465" w14:paraId="278B9B47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4FF07D7C" w14:textId="77777777" w:rsidR="00A63465" w:rsidRDefault="00000000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580AE3CC" w14:textId="77777777" w:rsidR="00A63465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34D1FC93" w14:textId="77777777" w:rsidR="00A63465" w:rsidRDefault="00000000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76D369B7" w14:textId="77777777" w:rsidR="00A63465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 ludności.</w:t>
            </w:r>
          </w:p>
        </w:tc>
      </w:tr>
      <w:tr w:rsidR="00A63465" w14:paraId="59FBA700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31D0A7C5" w14:textId="77777777" w:rsidR="00A6346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22" w:type="dxa"/>
          </w:tcPr>
          <w:p w14:paraId="2CC0F427" w14:textId="77777777" w:rsidR="00A63465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01634FDE" w14:textId="77777777" w:rsidR="00A63465" w:rsidRDefault="00000000">
            <w:pPr>
              <w:pStyle w:val="TableParagraph"/>
              <w:spacing w:before="31" w:line="276" w:lineRule="auto"/>
              <w:ind w:right="221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Osobowych; </w:t>
            </w:r>
            <w:hyperlink r:id="rId13">
              <w:r>
                <w:rPr>
                  <w:sz w:val="18"/>
                </w:rPr>
                <w:t>Adres</w:t>
              </w:r>
            </w:hyperlink>
            <w:r>
              <w:rPr>
                <w:sz w:val="18"/>
              </w:rPr>
              <w:t>: Stawki 2, 00-193 Warszawa</w:t>
            </w:r>
          </w:p>
        </w:tc>
      </w:tr>
      <w:tr w:rsidR="00A63465" w14:paraId="482BE7CD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2642A36A" w14:textId="77777777" w:rsidR="00A63465" w:rsidRDefault="00000000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22" w:type="dxa"/>
          </w:tcPr>
          <w:p w14:paraId="6583D479" w14:textId="77777777" w:rsidR="00A63465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0D7B244A" w14:textId="77777777" w:rsidR="00A63465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A63465" w14:paraId="0F45DC4E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576870CC" w14:textId="77777777" w:rsidR="00A63465" w:rsidRDefault="00000000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6622" w:type="dxa"/>
          </w:tcPr>
          <w:p w14:paraId="5CBC2D55" w14:textId="77777777" w:rsidR="00A63465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3A23ECF2" w14:textId="77777777" w:rsidR="00A63465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A63465" w14:paraId="44F456CF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06214E64" w14:textId="77777777" w:rsidR="00A63465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6622" w:type="dxa"/>
          </w:tcPr>
          <w:p w14:paraId="46C912B1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2ADEEB44" w14:textId="77777777" w:rsidR="00A63465" w:rsidRDefault="00000000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6CB32B7F" w14:textId="77777777" w:rsidR="00EC754E" w:rsidRDefault="00EC754E"/>
    <w:sectPr w:rsidR="00EC754E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E66"/>
    <w:multiLevelType w:val="hybridMultilevel"/>
    <w:tmpl w:val="67B855D6"/>
    <w:lvl w:ilvl="0" w:tplc="87D6A7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1C6013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FE26B55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E9D2C12E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A6C4230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1AB6FB6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DB85D4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DB0A87E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40E880A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7769AB"/>
    <w:multiLevelType w:val="hybridMultilevel"/>
    <w:tmpl w:val="3ED85286"/>
    <w:lvl w:ilvl="0" w:tplc="513AA4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BE8E6F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FBC9A0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94A6448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3528D20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C4EAF78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B8C517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21622B42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0B34357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666465"/>
    <w:multiLevelType w:val="hybridMultilevel"/>
    <w:tmpl w:val="81145876"/>
    <w:lvl w:ilvl="0" w:tplc="1584E8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318C98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67CEB8F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63A09C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FA2E8264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CE0C55F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B29239C8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30DA729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2D2C689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 w16cid:durableId="77102407">
    <w:abstractNumId w:val="1"/>
  </w:num>
  <w:num w:numId="2" w16cid:durableId="1202717130">
    <w:abstractNumId w:val="2"/>
  </w:num>
  <w:num w:numId="3" w16cid:durableId="50602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3465"/>
    <w:rsid w:val="00413336"/>
    <w:rsid w:val="005B0317"/>
    <w:rsid w:val="00A63465"/>
    <w:rsid w:val="00B57106"/>
    <w:rsid w:val="00B76DE9"/>
    <w:rsid w:val="00CC1DFD"/>
    <w:rsid w:val="00E37D58"/>
    <w:rsid w:val="00E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90B2"/>
  <w15:docId w15:val="{D0E15254-3133-4192-865A-5687216A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E37D5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12" Type="http://schemas.openxmlformats.org/officeDocument/2006/relationships/hyperlink" Target="mailto:iod@msz.gov.pl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cyfra.gov.pl" TargetMode="External"/><Relationship Id="rId11" Type="http://schemas.openxmlformats.org/officeDocument/2006/relationships/hyperlink" Target="mailto:iod@mswia.gov.pl" TargetMode="External"/><Relationship Id="rId5" Type="http://schemas.openxmlformats.org/officeDocument/2006/relationships/hyperlink" Target="mailto:urzadmiasta@podkowalesna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od@mc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dyplomacja/polskie-przedstawicielstwa-na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Beata Krupa</cp:lastModifiedBy>
  <cp:revision>6</cp:revision>
  <dcterms:created xsi:type="dcterms:W3CDTF">2023-09-01T07:03:00Z</dcterms:created>
  <dcterms:modified xsi:type="dcterms:W3CDTF">2023-09-01T08:01:00Z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Aspose.Words for .NET 16.1.0.0</vt:lpwstr>
  </property>
</Properties>
</file>