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</w:rPr>
        <w:t>WZÓR UMOWY ZAD.I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Tusińskiego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W wyniku przeprowadzonego postępowania w trybie przetargu nieograniczonego (art. 39 ustawy Prawo zamówień publicznych z dnia  29 stycznia 2004 r. (tekst jednolity 2013 r. nr 907 z poźn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Pr="00B71955" w:rsidRDefault="009D4983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b/>
          <w:sz w:val="24"/>
          <w:szCs w:val="24"/>
        </w:rPr>
        <w:t xml:space="preserve">Opracowanie dokumentacji projektowej wraz z projektem organizacji ruchu oraz uzyskaniem decyzji o zatwierdzeniu projektu budowlanego i pozwoleniu na budowę lub równoważnej wymaganej prawem na przebudowę dróg  w mieście ogrodzie Podkowie Leśnej w zakresie (zadanie I) </w:t>
      </w:r>
      <w:r w:rsidR="00B71955" w:rsidRPr="00B71955">
        <w:rPr>
          <w:b/>
          <w:sz w:val="24"/>
          <w:szCs w:val="24"/>
        </w:rPr>
        <w:t>w zakres zadania wchodzą: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1)</w:t>
      </w:r>
      <w:r w:rsidRPr="00B71955">
        <w:rPr>
          <w:b/>
          <w:sz w:val="24"/>
          <w:szCs w:val="24"/>
        </w:rPr>
        <w:t xml:space="preserve"> przebudowa </w:t>
      </w:r>
      <w:r w:rsidR="009D4983" w:rsidRPr="00B71955">
        <w:rPr>
          <w:b/>
          <w:sz w:val="24"/>
          <w:szCs w:val="24"/>
        </w:rPr>
        <w:t>ul. Warszawska na odcinku ul.Brwinowska – ul.Słowicza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2)</w:t>
      </w:r>
      <w:r w:rsidRPr="00B71955">
        <w:rPr>
          <w:b/>
          <w:sz w:val="24"/>
          <w:szCs w:val="24"/>
        </w:rPr>
        <w:t xml:space="preserve">  przebudowa ul. </w:t>
      </w:r>
      <w:r w:rsidR="00B71955" w:rsidRPr="00B71955">
        <w:rPr>
          <w:b/>
          <w:sz w:val="24"/>
          <w:szCs w:val="24"/>
        </w:rPr>
        <w:t>ul. Szpaków</w:t>
      </w:r>
      <w:r w:rsidRPr="00B71955">
        <w:rPr>
          <w:b/>
          <w:sz w:val="24"/>
          <w:szCs w:val="24"/>
        </w:rPr>
        <w:t xml:space="preserve">, 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3)</w:t>
      </w:r>
      <w:r w:rsidRPr="00B71955">
        <w:rPr>
          <w:b/>
          <w:sz w:val="24"/>
          <w:szCs w:val="24"/>
        </w:rPr>
        <w:t xml:space="preserve">  przebudowa </w:t>
      </w:r>
      <w:r w:rsidR="00B71955" w:rsidRPr="00B71955">
        <w:rPr>
          <w:b/>
          <w:sz w:val="24"/>
          <w:szCs w:val="24"/>
        </w:rPr>
        <w:t>ul. Wróbla na odcinku ul.Sokola – ul.Jaskółcza</w:t>
      </w:r>
      <w:r w:rsidRPr="00B71955">
        <w:rPr>
          <w:b/>
          <w:sz w:val="24"/>
          <w:szCs w:val="24"/>
        </w:rPr>
        <w:t>,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4)</w:t>
      </w:r>
      <w:r w:rsidRPr="00B71955">
        <w:rPr>
          <w:b/>
          <w:sz w:val="24"/>
          <w:szCs w:val="24"/>
        </w:rPr>
        <w:t xml:space="preserve"> przebudowa </w:t>
      </w:r>
      <w:r w:rsidR="00B71955" w:rsidRPr="00B71955">
        <w:rPr>
          <w:b/>
          <w:sz w:val="24"/>
          <w:szCs w:val="24"/>
        </w:rPr>
        <w:t>ul. Kukułek</w:t>
      </w:r>
      <w:r w:rsidRPr="00B71955">
        <w:rPr>
          <w:b/>
          <w:sz w:val="24"/>
          <w:szCs w:val="24"/>
        </w:rPr>
        <w:t xml:space="preserve">, 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5)</w:t>
      </w:r>
      <w:r w:rsidRPr="00B71955">
        <w:rPr>
          <w:b/>
          <w:sz w:val="24"/>
          <w:szCs w:val="24"/>
        </w:rPr>
        <w:t xml:space="preserve"> projekt organizacji ruchu dla całego rejonu z podziałem na poszczególne </w:t>
      </w:r>
      <w:r w:rsidR="00B71955" w:rsidRPr="00B71955">
        <w:rPr>
          <w:b/>
          <w:sz w:val="24"/>
          <w:szCs w:val="24"/>
        </w:rPr>
        <w:t>ulice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  <w:r w:rsidRPr="005F7B24">
        <w:rPr>
          <w:sz w:val="24"/>
          <w:szCs w:val="24"/>
        </w:rPr>
        <w:t>2.</w:t>
      </w:r>
      <w:r w:rsidRPr="005F7B24">
        <w:rPr>
          <w:b/>
          <w:sz w:val="24"/>
          <w:szCs w:val="24"/>
        </w:rPr>
        <w:t xml:space="preserve"> Podstawowe założenia projektowe: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    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B71955" w:rsidRPr="00B71955" w:rsidRDefault="00B71955" w:rsidP="00463184">
      <w:pPr>
        <w:widowControl w:val="0"/>
        <w:numPr>
          <w:ilvl w:val="1"/>
          <w:numId w:val="26"/>
        </w:numPr>
        <w:autoSpaceDE w:val="0"/>
        <w:autoSpaceDN w:val="0"/>
        <w:adjustRightInd w:val="0"/>
        <w:ind w:right="680"/>
        <w:rPr>
          <w:rFonts w:ascii="Calibri" w:hAnsi="Calibri" w:cs="Arial"/>
        </w:rPr>
      </w:pPr>
      <w:r w:rsidRPr="00B71955">
        <w:rPr>
          <w:rFonts w:ascii="Calibri" w:hAnsi="Calibri" w:cs="Arial"/>
          <w:b/>
        </w:rPr>
        <w:t xml:space="preserve">Ulica Warszawska </w:t>
      </w:r>
      <w:r w:rsidRPr="00B71955">
        <w:rPr>
          <w:rFonts w:ascii="Calibri" w:hAnsi="Calibri" w:cs="Arial"/>
        </w:rPr>
        <w:t>( Brwinowska –Słowicza) - 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13-</w:t>
      </w:r>
      <w:smartTag w:uri="urn:schemas-microsoft-com:office:smarttags" w:element="metricconverter">
        <w:smartTagPr>
          <w:attr w:name="ProductID" w:val="15 m"/>
        </w:smartTagPr>
        <w:r w:rsidRPr="00B71955">
          <w:rPr>
            <w:rFonts w:ascii="Calibri" w:hAnsi="Calibri" w:cs="Arial"/>
            <w:b/>
          </w:rPr>
          <w:t>15 m</w:t>
        </w:r>
      </w:smartTag>
      <w:r w:rsidRPr="00B71955">
        <w:rPr>
          <w:rFonts w:ascii="Calibri" w:hAnsi="Calibri" w:cs="Arial"/>
        </w:rPr>
        <w:t xml:space="preserve">, długość około </w:t>
      </w:r>
      <w:r w:rsidRPr="00B71955">
        <w:rPr>
          <w:rFonts w:ascii="Calibri" w:hAnsi="Calibri" w:cs="Arial"/>
          <w:b/>
        </w:rPr>
        <w:t>400m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jezdnia szerokości 5m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chodnik jednostronny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odwodnienie powierzchniowe na  powierzchnie wchłanialne (mikroretencja)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elementy uspokojenia ruchu skrzyżowania wyniesione, szykany  w ostateczności  progi zwalniające.</w:t>
      </w:r>
    </w:p>
    <w:p w:rsid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</w:p>
    <w:p w:rsidR="00B71955" w:rsidRPr="00B71955" w:rsidRDefault="00B71955" w:rsidP="00463184">
      <w:pPr>
        <w:widowControl w:val="0"/>
        <w:numPr>
          <w:ilvl w:val="1"/>
          <w:numId w:val="26"/>
        </w:numPr>
        <w:autoSpaceDE w:val="0"/>
        <w:autoSpaceDN w:val="0"/>
        <w:adjustRightInd w:val="0"/>
        <w:ind w:right="680"/>
        <w:rPr>
          <w:rFonts w:ascii="Calibri" w:hAnsi="Calibri" w:cs="Arial"/>
        </w:rPr>
      </w:pPr>
      <w:r w:rsidRPr="00B71955">
        <w:rPr>
          <w:rFonts w:ascii="Calibri" w:hAnsi="Calibri" w:cs="Arial"/>
          <w:b/>
        </w:rPr>
        <w:t xml:space="preserve"> Ulica Szpaków </w:t>
      </w:r>
      <w:r w:rsidRPr="00B71955">
        <w:rPr>
          <w:rFonts w:ascii="Calibri" w:hAnsi="Calibri" w:cs="Arial"/>
        </w:rPr>
        <w:t>–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12-</w:t>
      </w:r>
      <w:smartTag w:uri="urn:schemas-microsoft-com:office:smarttags" w:element="metricconverter">
        <w:smartTagPr>
          <w:attr w:name="ProductID" w:val="27 m"/>
        </w:smartTagPr>
        <w:r w:rsidRPr="00B71955">
          <w:rPr>
            <w:rFonts w:ascii="Calibri" w:hAnsi="Calibri" w:cs="Arial"/>
            <w:b/>
          </w:rPr>
          <w:t>27 m</w:t>
        </w:r>
      </w:smartTag>
      <w:r w:rsidRPr="00B71955">
        <w:rPr>
          <w:rFonts w:ascii="Calibri" w:hAnsi="Calibri" w:cs="Arial"/>
        </w:rPr>
        <w:t xml:space="preserve"> duże zadrzewienie, długość około </w:t>
      </w:r>
      <w:r w:rsidRPr="00B71955">
        <w:rPr>
          <w:rFonts w:ascii="Calibri" w:hAnsi="Calibri" w:cs="Arial"/>
          <w:b/>
        </w:rPr>
        <w:t>410m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jezdnia szerokości 5m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chodnik jednostronny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odwodnienie powierzchniowe na  powierzchne wchłanialne (mikroretencja)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454" w:right="680"/>
        <w:rPr>
          <w:rFonts w:ascii="Calibri" w:hAnsi="Calibri" w:cs="Arial"/>
        </w:rPr>
      </w:pPr>
    </w:p>
    <w:p w:rsidR="00B71955" w:rsidRPr="00B71955" w:rsidRDefault="00B71955" w:rsidP="00463184">
      <w:pPr>
        <w:widowControl w:val="0"/>
        <w:numPr>
          <w:ilvl w:val="1"/>
          <w:numId w:val="25"/>
        </w:numPr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  <w:b/>
        </w:rPr>
        <w:t>Ulica Wróbla (</w:t>
      </w:r>
      <w:r w:rsidRPr="00B71955">
        <w:rPr>
          <w:rFonts w:ascii="Calibri" w:hAnsi="Calibri" w:cs="Arial"/>
        </w:rPr>
        <w:t>odc. Sokola- Jaskółcza) -  droga gminna - lokalna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około 7,70m</w:t>
      </w:r>
      <w:r w:rsidRPr="00B71955">
        <w:rPr>
          <w:rFonts w:ascii="Calibri" w:hAnsi="Calibri" w:cs="Arial"/>
        </w:rPr>
        <w:t xml:space="preserve">, długość około </w:t>
      </w:r>
      <w:r w:rsidRPr="00B71955">
        <w:rPr>
          <w:rFonts w:ascii="Calibri" w:hAnsi="Calibri" w:cs="Arial"/>
          <w:b/>
        </w:rPr>
        <w:t>280m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jezdnia szerokości 4,5m -5m </w:t>
      </w:r>
      <w:r w:rsidRPr="00B71955">
        <w:rPr>
          <w:rFonts w:ascii="Calibri" w:hAnsi="Calibri" w:cs="Arial"/>
          <w:b/>
        </w:rPr>
        <w:t>– ciąg pieszo jezdny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odwodnienie powierzchniowe na  powierzchne wchłanialne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</w:rPr>
      </w:pPr>
    </w:p>
    <w:p w:rsidR="00B71955" w:rsidRPr="00B71955" w:rsidRDefault="00B71955" w:rsidP="00463184">
      <w:pPr>
        <w:widowControl w:val="0"/>
        <w:numPr>
          <w:ilvl w:val="1"/>
          <w:numId w:val="25"/>
        </w:numPr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  <w:b/>
        </w:rPr>
        <w:t>Ulica Kukułek</w:t>
      </w:r>
      <w:r w:rsidRPr="00B71955">
        <w:rPr>
          <w:rFonts w:ascii="Calibri" w:hAnsi="Calibri" w:cs="Arial"/>
        </w:rPr>
        <w:t>- 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około 7,5m-9m</w:t>
      </w:r>
      <w:r w:rsidRPr="00B71955">
        <w:rPr>
          <w:rFonts w:ascii="Calibri" w:hAnsi="Calibri" w:cs="Arial"/>
        </w:rPr>
        <w:t xml:space="preserve"> , długość około </w:t>
      </w:r>
      <w:r w:rsidRPr="00B71955">
        <w:rPr>
          <w:rFonts w:ascii="Calibri" w:hAnsi="Calibri" w:cs="Arial"/>
          <w:b/>
        </w:rPr>
        <w:t>480m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jezdnia szerokości 4,5m -5m </w:t>
      </w:r>
      <w:r w:rsidRPr="00B71955">
        <w:rPr>
          <w:rFonts w:ascii="Calibri" w:hAnsi="Calibri" w:cs="Arial"/>
          <w:b/>
        </w:rPr>
        <w:t>– ciąg pieszo jezdny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odwodnienie powierzchniowe na  powierzchne wchłanialne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</w:rPr>
      </w:pPr>
    </w:p>
    <w:p w:rsidR="00C72FE1" w:rsidRPr="00B71955" w:rsidRDefault="00B71955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b/>
          <w:sz w:val="24"/>
          <w:szCs w:val="24"/>
        </w:rPr>
        <w:t>1.5</w:t>
      </w:r>
      <w:r w:rsidR="00C72FE1" w:rsidRPr="00B71955">
        <w:rPr>
          <w:b/>
          <w:sz w:val="24"/>
          <w:szCs w:val="24"/>
        </w:rPr>
        <w:t>)</w:t>
      </w:r>
      <w:r w:rsidR="00C72FE1" w:rsidRPr="00B71955">
        <w:rPr>
          <w:sz w:val="24"/>
          <w:szCs w:val="24"/>
        </w:rPr>
        <w:t xml:space="preserve"> projekt organizacji ruchu całego rejonu </w:t>
      </w:r>
      <w:r w:rsidR="002F735B">
        <w:rPr>
          <w:sz w:val="24"/>
          <w:szCs w:val="24"/>
        </w:rPr>
        <w:t xml:space="preserve">z podziałem na poszczególne ulice </w:t>
      </w:r>
      <w:r w:rsidR="00C72FE1" w:rsidRPr="00B71955">
        <w:rPr>
          <w:sz w:val="24"/>
          <w:szCs w:val="24"/>
        </w:rPr>
        <w:t xml:space="preserve">ma umożliwiać wprowadzanie tych zadań etapami </w:t>
      </w:r>
      <w:r w:rsidR="002F735B">
        <w:rPr>
          <w:sz w:val="24"/>
          <w:szCs w:val="24"/>
        </w:rPr>
        <w:t xml:space="preserve">w </w:t>
      </w:r>
      <w:r w:rsidR="00C72FE1" w:rsidRPr="00B71955">
        <w:rPr>
          <w:sz w:val="24"/>
          <w:szCs w:val="24"/>
        </w:rPr>
        <w:t>celem uniknięcia utrudnień komunikacyjnych.</w:t>
      </w:r>
    </w:p>
    <w:p w:rsidR="00C72FE1" w:rsidRPr="00B71955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5F7B24">
        <w:rPr>
          <w:b/>
          <w:sz w:val="24"/>
          <w:szCs w:val="24"/>
        </w:rPr>
        <w:t>Układ wysokościowy i geometryczny poszczególnych zadań musi być wzajemnie dostosowany.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</w:rPr>
        <w:t xml:space="preserve">     </w:t>
      </w:r>
    </w:p>
    <w:p w:rsidR="00C72FE1" w:rsidRPr="005F7B24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3. Dokumentację projektową należy wykonać w formie czterech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5. Wykonawca uzyska dla każdego Projektu </w:t>
      </w:r>
      <w:r w:rsidRPr="005F7B24">
        <w:rPr>
          <w:sz w:val="24"/>
          <w:szCs w:val="24"/>
          <w:u w:val="single"/>
        </w:rPr>
        <w:t>komplet niezbędnych uzgodnień i opinii</w:t>
      </w:r>
      <w:r w:rsidRPr="005F7B24">
        <w:rPr>
          <w:sz w:val="24"/>
          <w:szCs w:val="24"/>
        </w:rPr>
        <w:t>, a także ostateczne/prawomocne decyzje organów administracji państwowej, uprawniające do realizacji przedsięwzięć (</w:t>
      </w:r>
      <w:r w:rsidRPr="005F7B24">
        <w:rPr>
          <w:b/>
          <w:sz w:val="24"/>
          <w:szCs w:val="24"/>
        </w:rPr>
        <w:t>decyzja o zatwierdzeniu projektu budowlanego i pozwoleniu na budowę lub równoważnej wymaganej prawem</w:t>
      </w:r>
      <w:r w:rsidRPr="005F7B24">
        <w:rPr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Wykonawca zobowiązany jest wykonać przedmiot Umowy zgodnie z zasadami aktualnej wiedzy technicznej oraz obowiązującymi przepisami prawa, a w szczególności z ustawą z dnia 7 lipca 1994 r. Prawo budowlane (Dz. U. z 2013 r. poz. 1409 z późn. zm.), Rozporządzeniem Ministra Transportu, Budownictwa i Gospodarki Morskiej z dnia 25 kwietnia 2012 r. w sprawie szczegółowego zakresu i formy projektu budowlanego (Dz. U. z 2012 pz. 462), Rozporządzeniem Ministra Infrastruktury z dnia 2 września 2004 r. w sprawie szczegółowego zakresu i form dokumentacji projektowej, specyfikacji technicznych wykonania i odbioru robót budowlanych oraz programu funkcjonalno – użytkowego (Dz. U. z 2013r. poz. 1129 ze zm.), Rozporządzeniem Ministra Transportu i Gospodarki Morskiej z dnia 2 marca 1999 r. w sprawie warunków technicznych, jakim powinny odpowiadać drogi publiczne i ich usytuowanie (Dz. U. z 1990  Nr 43, poz. 430 z póź.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 xml:space="preserve">100 dni </w:t>
      </w:r>
      <w:r w:rsidRPr="005F7B24">
        <w:rPr>
          <w:sz w:val="24"/>
          <w:szCs w:val="24"/>
        </w:rPr>
        <w:t xml:space="preserve">od dnia  zawarcia Umowy  (ust. 2 pkt 1) niniejszego paragrafu). Termin, powyżej wskazany, </w:t>
      </w:r>
      <w:r w:rsidRPr="005F7B24">
        <w:rPr>
          <w:sz w:val="24"/>
          <w:szCs w:val="24"/>
        </w:rPr>
        <w:lastRenderedPageBreak/>
        <w:t xml:space="preserve">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4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5 -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netto) plus VAT-23% tj</w:t>
      </w:r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60 % wartości wynagrodzenia brutto liczonego od wartości </w:t>
      </w:r>
      <w:r w:rsidRPr="005F7B24">
        <w:rPr>
          <w:rFonts w:ascii="Calibri" w:hAnsi="Calibri"/>
        </w:rPr>
        <w:lastRenderedPageBreak/>
        <w:t xml:space="preserve">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1" w:name="OLE_LINK3"/>
      <w:bookmarkStart w:id="2" w:name="OLE_LINK4"/>
      <w:r w:rsidRPr="005F7B24">
        <w:rPr>
          <w:rFonts w:ascii="Calibri" w:hAnsi="Calibri"/>
        </w:rPr>
        <w:t>Zamawiającego</w:t>
      </w:r>
      <w:bookmarkEnd w:id="1"/>
      <w:bookmarkEnd w:id="2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widowControl w:val="0"/>
        <w:suppressAutoHyphens/>
        <w:ind w:left="284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W przypadku ujawnienia się wad lub braków w sporządzonych Projektach, po podpisaniu protokołu o którym mowa w ust. 1 niniejszego paragrafu, Projektant zobowiązuje się do ich </w:t>
      </w:r>
      <w:r w:rsidRPr="005F7B24">
        <w:rPr>
          <w:rFonts w:ascii="Calibri" w:hAnsi="Calibri"/>
        </w:rPr>
        <w:lastRenderedPageBreak/>
        <w:t>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Zamawiający zgodnie z art. 144 ust. 1 ustawy Pzp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lastRenderedPageBreak/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60" w:rsidRDefault="00A42B60" w:rsidP="008A6827">
      <w:r>
        <w:separator/>
      </w:r>
    </w:p>
  </w:endnote>
  <w:endnote w:type="continuationSeparator" w:id="0">
    <w:p w:rsidR="00A42B60" w:rsidRDefault="00A42B60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2D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60" w:rsidRDefault="00A42B60" w:rsidP="008A6827">
      <w:r>
        <w:separator/>
      </w:r>
    </w:p>
  </w:footnote>
  <w:footnote w:type="continuationSeparator" w:id="0">
    <w:p w:rsidR="00A42B60" w:rsidRDefault="00A42B60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5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7"/>
  </w:num>
  <w:num w:numId="12">
    <w:abstractNumId w:val="23"/>
  </w:num>
  <w:num w:numId="13">
    <w:abstractNumId w:val="5"/>
  </w:num>
  <w:num w:numId="14">
    <w:abstractNumId w:val="9"/>
  </w:num>
  <w:num w:numId="15">
    <w:abstractNumId w:val="24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6"/>
  </w:num>
  <w:num w:numId="23">
    <w:abstractNumId w:val="18"/>
  </w:num>
  <w:num w:numId="24">
    <w:abstractNumId w:val="11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638EE"/>
    <w:rsid w:val="00063ED2"/>
    <w:rsid w:val="00076DEB"/>
    <w:rsid w:val="00086515"/>
    <w:rsid w:val="000929D0"/>
    <w:rsid w:val="00092FC6"/>
    <w:rsid w:val="000946D8"/>
    <w:rsid w:val="000D4DBD"/>
    <w:rsid w:val="000E2A29"/>
    <w:rsid w:val="000E4045"/>
    <w:rsid w:val="001238F4"/>
    <w:rsid w:val="00152ADE"/>
    <w:rsid w:val="00160E9D"/>
    <w:rsid w:val="00171138"/>
    <w:rsid w:val="00181C89"/>
    <w:rsid w:val="001864C5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62A5"/>
    <w:rsid w:val="00291DEC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36E9"/>
    <w:rsid w:val="00361AD6"/>
    <w:rsid w:val="00367D0B"/>
    <w:rsid w:val="003B05DD"/>
    <w:rsid w:val="003C3A65"/>
    <w:rsid w:val="003C5B6C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52D28"/>
    <w:rsid w:val="00560EEC"/>
    <w:rsid w:val="0056708D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E7E44"/>
    <w:rsid w:val="006F7C8B"/>
    <w:rsid w:val="0070068C"/>
    <w:rsid w:val="007060C9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42B60"/>
    <w:rsid w:val="00A951DB"/>
    <w:rsid w:val="00AA46BD"/>
    <w:rsid w:val="00AA77AA"/>
    <w:rsid w:val="00AB2B94"/>
    <w:rsid w:val="00AB3F05"/>
    <w:rsid w:val="00AC0889"/>
    <w:rsid w:val="00AC1CC4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61E67"/>
    <w:rsid w:val="00C67AE1"/>
    <w:rsid w:val="00C67B70"/>
    <w:rsid w:val="00C72FE1"/>
    <w:rsid w:val="00C869BD"/>
    <w:rsid w:val="00C9211E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E07985"/>
    <w:rsid w:val="00E42FC1"/>
    <w:rsid w:val="00E43313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E9F"/>
    <w:rsid w:val="00F86B53"/>
    <w:rsid w:val="00F86F1F"/>
    <w:rsid w:val="00FA3BA8"/>
    <w:rsid w:val="00FA5693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3703</Words>
  <Characters>22224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2</cp:revision>
  <cp:lastPrinted>2015-08-20T08:19:00Z</cp:lastPrinted>
  <dcterms:created xsi:type="dcterms:W3CDTF">2016-07-27T09:42:00Z</dcterms:created>
  <dcterms:modified xsi:type="dcterms:W3CDTF">2016-07-27T09:42:00Z</dcterms:modified>
</cp:coreProperties>
</file>