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</w:t>
      </w:r>
      <w:r w:rsidR="00AF06DB">
        <w:rPr>
          <w:rFonts w:ascii="Bookman Old Style" w:hAnsi="Bookman Old Style"/>
          <w:b/>
          <w:color w:val="000000"/>
        </w:rPr>
        <w:t>I</w:t>
      </w:r>
      <w:r>
        <w:rPr>
          <w:rFonts w:ascii="Bookman Old Style" w:hAnsi="Bookman Old Style"/>
          <w:b/>
          <w:color w:val="000000"/>
        </w:rPr>
        <w:t>I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</w:t>
      </w:r>
      <w:proofErr w:type="spellStart"/>
      <w:r w:rsidRPr="005F7B24">
        <w:rPr>
          <w:rFonts w:ascii="Calibri" w:hAnsi="Calibri"/>
          <w:b/>
          <w:bCs/>
        </w:rPr>
        <w:t>Tusińskiego</w:t>
      </w:r>
      <w:proofErr w:type="spellEnd"/>
      <w:r w:rsidRPr="005F7B24">
        <w:rPr>
          <w:rFonts w:ascii="Calibri" w:hAnsi="Calibri"/>
          <w:b/>
          <w:bCs/>
        </w:rPr>
        <w:t xml:space="preserve">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 wyniku przeprowadzonego postępowania w trybie przetargu nieograniczonego (art. 39 ustawy Prawo zamówień publicznych z dnia  29 stycznia 2004 r. (tekst jednolity 2013 r. nr 907 z </w:t>
      </w:r>
      <w:proofErr w:type="spellStart"/>
      <w:r w:rsidRPr="005F7B24">
        <w:rPr>
          <w:rFonts w:ascii="Calibri" w:hAnsi="Calibri"/>
        </w:rPr>
        <w:t>poźn</w:t>
      </w:r>
      <w:proofErr w:type="spellEnd"/>
      <w:r w:rsidRPr="005F7B24">
        <w:rPr>
          <w:rFonts w:ascii="Calibri" w:hAnsi="Calibri"/>
        </w:rPr>
        <w:t xml:space="preserve">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Default="009D4983" w:rsidP="00463184">
      <w:pPr>
        <w:pStyle w:val="Akapitzlist1"/>
        <w:spacing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Opracowanie dokumentacji projektowej wraz z projektem organizacji ruchu oraz uzyskaniem decyzji o zatwierdzeniu projektu budowlanego i pozwoleniu na budowę lub równoważnej wymaganej prawem na przebudowę dróg  w mieście ogrodzie Podkowie Leśnej w zakresie (z</w:t>
      </w:r>
      <w:r w:rsidR="00035AA9" w:rsidRPr="00035AA9">
        <w:rPr>
          <w:rFonts w:asciiTheme="minorHAnsi" w:hAnsiTheme="minorHAnsi"/>
          <w:b/>
          <w:sz w:val="24"/>
          <w:szCs w:val="24"/>
        </w:rPr>
        <w:t>a</w:t>
      </w:r>
      <w:r w:rsidRPr="00035AA9">
        <w:rPr>
          <w:rFonts w:asciiTheme="minorHAnsi" w:hAnsiTheme="minorHAnsi"/>
          <w:b/>
          <w:sz w:val="24"/>
          <w:szCs w:val="24"/>
        </w:rPr>
        <w:t>danie</w:t>
      </w:r>
      <w:r w:rsidR="00350FEE" w:rsidRPr="00035AA9">
        <w:rPr>
          <w:rFonts w:asciiTheme="minorHAnsi" w:hAnsiTheme="minorHAnsi"/>
          <w:b/>
          <w:sz w:val="24"/>
          <w:szCs w:val="24"/>
        </w:rPr>
        <w:t xml:space="preserve"> I</w:t>
      </w:r>
      <w:r w:rsidR="00C26572">
        <w:rPr>
          <w:rFonts w:asciiTheme="minorHAnsi" w:hAnsiTheme="minorHAnsi"/>
          <w:b/>
          <w:sz w:val="24"/>
          <w:szCs w:val="24"/>
        </w:rPr>
        <w:t>V</w:t>
      </w:r>
      <w:r w:rsidRPr="00035AA9">
        <w:rPr>
          <w:rFonts w:asciiTheme="minorHAnsi" w:hAnsiTheme="minorHAnsi"/>
          <w:b/>
          <w:sz w:val="24"/>
          <w:szCs w:val="24"/>
        </w:rPr>
        <w:t xml:space="preserve">) </w:t>
      </w:r>
      <w:r w:rsidR="00B71955" w:rsidRPr="00035AA9">
        <w:rPr>
          <w:rFonts w:asciiTheme="minorHAnsi" w:hAnsiTheme="minorHAnsi"/>
          <w:b/>
          <w:sz w:val="24"/>
          <w:szCs w:val="24"/>
        </w:rPr>
        <w:t>w zakres zadania wchodzą:</w:t>
      </w:r>
    </w:p>
    <w:p w:rsidR="00C26572" w:rsidRPr="00241644" w:rsidRDefault="00C26572" w:rsidP="00C26572">
      <w:pPr>
        <w:rPr>
          <w:rFonts w:ascii="Calibri" w:hAnsi="Calibri"/>
        </w:rPr>
      </w:pPr>
    </w:p>
    <w:p w:rsidR="00C72FE1" w:rsidRPr="00C26572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C26572">
        <w:rPr>
          <w:rFonts w:asciiTheme="minorHAnsi" w:hAnsiTheme="minorHAnsi"/>
          <w:b/>
          <w:sz w:val="24"/>
          <w:szCs w:val="24"/>
        </w:rPr>
        <w:t xml:space="preserve">1) przebudowa </w:t>
      </w:r>
      <w:r w:rsidR="00C26572" w:rsidRPr="00C26572">
        <w:rPr>
          <w:rFonts w:asciiTheme="minorHAnsi" w:hAnsiTheme="minorHAnsi"/>
          <w:b/>
          <w:sz w:val="24"/>
          <w:szCs w:val="24"/>
        </w:rPr>
        <w:t>ul. Mickiewicza</w:t>
      </w:r>
      <w:r w:rsidR="00350FEE" w:rsidRPr="00C26572">
        <w:rPr>
          <w:rFonts w:asciiTheme="minorHAnsi" w:hAnsiTheme="minorHAnsi"/>
          <w:b/>
          <w:sz w:val="24"/>
          <w:szCs w:val="24"/>
        </w:rPr>
        <w:t>,</w:t>
      </w:r>
    </w:p>
    <w:p w:rsidR="00C72FE1" w:rsidRPr="00C26572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C26572">
        <w:rPr>
          <w:rFonts w:asciiTheme="minorHAnsi" w:hAnsiTheme="minorHAnsi"/>
          <w:b/>
          <w:sz w:val="24"/>
          <w:szCs w:val="24"/>
        </w:rPr>
        <w:t xml:space="preserve">2)  przebudowa </w:t>
      </w:r>
      <w:r w:rsidR="00C26572" w:rsidRPr="00C26572">
        <w:rPr>
          <w:rFonts w:asciiTheme="minorHAnsi" w:hAnsiTheme="minorHAnsi"/>
          <w:b/>
          <w:sz w:val="24"/>
          <w:szCs w:val="24"/>
        </w:rPr>
        <w:t>ul.Ejsmonda</w:t>
      </w:r>
      <w:r w:rsidRPr="00C26572">
        <w:rPr>
          <w:rFonts w:asciiTheme="minorHAnsi" w:hAnsiTheme="minorHAnsi"/>
          <w:b/>
          <w:sz w:val="24"/>
          <w:szCs w:val="24"/>
        </w:rPr>
        <w:t xml:space="preserve">, </w:t>
      </w:r>
    </w:p>
    <w:p w:rsidR="00C26572" w:rsidRPr="00C26572" w:rsidRDefault="00C72FE1" w:rsidP="00350FEE">
      <w:pPr>
        <w:ind w:right="-170"/>
        <w:jc w:val="both"/>
        <w:rPr>
          <w:rFonts w:asciiTheme="minorHAnsi" w:hAnsiTheme="minorHAnsi"/>
          <w:b/>
        </w:rPr>
      </w:pPr>
      <w:r w:rsidRPr="00C26572">
        <w:rPr>
          <w:rFonts w:asciiTheme="minorHAnsi" w:hAnsiTheme="minorHAnsi"/>
          <w:b/>
        </w:rPr>
        <w:t xml:space="preserve">3)  przebudowa </w:t>
      </w:r>
      <w:proofErr w:type="spellStart"/>
      <w:r w:rsidR="00C26572" w:rsidRPr="00C26572">
        <w:rPr>
          <w:rFonts w:asciiTheme="minorHAnsi" w:hAnsiTheme="minorHAnsi"/>
          <w:b/>
        </w:rPr>
        <w:t>ul.Sasanek</w:t>
      </w:r>
      <w:proofErr w:type="spellEnd"/>
      <w:r w:rsidR="00C26572" w:rsidRPr="00C26572">
        <w:rPr>
          <w:rFonts w:asciiTheme="minorHAnsi" w:hAnsiTheme="minorHAnsi"/>
          <w:b/>
        </w:rPr>
        <w:t>;</w:t>
      </w:r>
    </w:p>
    <w:p w:rsidR="00035AA9" w:rsidRPr="00C26572" w:rsidRDefault="00C26572" w:rsidP="00350FEE">
      <w:pPr>
        <w:ind w:right="-170"/>
        <w:jc w:val="both"/>
        <w:rPr>
          <w:rFonts w:asciiTheme="minorHAnsi" w:hAnsiTheme="minorHAnsi"/>
          <w:b/>
        </w:rPr>
      </w:pPr>
      <w:r w:rsidRPr="00C26572">
        <w:rPr>
          <w:rFonts w:asciiTheme="minorHAnsi" w:hAnsiTheme="minorHAnsi"/>
          <w:b/>
        </w:rPr>
        <w:t xml:space="preserve">4) przebudowa </w:t>
      </w:r>
      <w:proofErr w:type="spellStart"/>
      <w:r w:rsidRPr="00C26572">
        <w:rPr>
          <w:rFonts w:asciiTheme="minorHAnsi" w:hAnsiTheme="minorHAnsi"/>
          <w:b/>
        </w:rPr>
        <w:t>ul.Głogów</w:t>
      </w:r>
      <w:proofErr w:type="spellEnd"/>
      <w:r w:rsidRPr="00C26572">
        <w:rPr>
          <w:rFonts w:asciiTheme="minorHAnsi" w:hAnsiTheme="minorHAnsi"/>
          <w:b/>
        </w:rPr>
        <w:t xml:space="preserve"> na odcinku </w:t>
      </w:r>
      <w:proofErr w:type="spellStart"/>
      <w:r w:rsidRPr="00C26572">
        <w:rPr>
          <w:rFonts w:asciiTheme="minorHAnsi" w:hAnsiTheme="minorHAnsi"/>
          <w:b/>
        </w:rPr>
        <w:t>ul.Sasanek</w:t>
      </w:r>
      <w:proofErr w:type="spellEnd"/>
      <w:r w:rsidRPr="00C26572">
        <w:rPr>
          <w:rFonts w:asciiTheme="minorHAnsi" w:hAnsiTheme="minorHAnsi"/>
          <w:b/>
        </w:rPr>
        <w:t xml:space="preserve"> – </w:t>
      </w:r>
      <w:proofErr w:type="spellStart"/>
      <w:r w:rsidRPr="00C26572">
        <w:rPr>
          <w:rFonts w:asciiTheme="minorHAnsi" w:hAnsiTheme="minorHAnsi"/>
          <w:b/>
        </w:rPr>
        <w:t>ul.Irysowa</w:t>
      </w:r>
      <w:proofErr w:type="spellEnd"/>
      <w:r w:rsidR="00035AA9" w:rsidRPr="00C26572">
        <w:rPr>
          <w:rFonts w:asciiTheme="minorHAnsi" w:hAnsiTheme="minorHAnsi"/>
          <w:b/>
        </w:rPr>
        <w:t>,</w:t>
      </w:r>
    </w:p>
    <w:p w:rsidR="00C26572" w:rsidRPr="00C26572" w:rsidRDefault="00C26572" w:rsidP="00C26572">
      <w:pPr>
        <w:ind w:right="-1531"/>
        <w:jc w:val="both"/>
        <w:rPr>
          <w:rFonts w:asciiTheme="minorHAnsi" w:eastAsia="Calibri" w:hAnsiTheme="minorHAnsi"/>
          <w:b/>
          <w:lang w:eastAsia="en-US"/>
        </w:rPr>
      </w:pPr>
      <w:r w:rsidRPr="00C26572">
        <w:rPr>
          <w:rFonts w:asciiTheme="minorHAnsi" w:hAnsiTheme="minorHAnsi"/>
          <w:b/>
        </w:rPr>
        <w:t>5</w:t>
      </w:r>
      <w:r w:rsidR="00035AA9" w:rsidRPr="00C26572">
        <w:rPr>
          <w:rFonts w:asciiTheme="minorHAnsi" w:hAnsiTheme="minorHAnsi"/>
          <w:b/>
        </w:rPr>
        <w:t xml:space="preserve">) przebudowa </w:t>
      </w:r>
      <w:r w:rsidRPr="00C26572">
        <w:rPr>
          <w:rFonts w:asciiTheme="minorHAnsi" w:hAnsiTheme="minorHAnsi"/>
          <w:b/>
        </w:rPr>
        <w:t xml:space="preserve">ul. Storczyków na odcinku </w:t>
      </w:r>
      <w:proofErr w:type="spellStart"/>
      <w:r w:rsidRPr="00C26572">
        <w:rPr>
          <w:rFonts w:asciiTheme="minorHAnsi" w:hAnsiTheme="minorHAnsi"/>
          <w:b/>
        </w:rPr>
        <w:t>ul.Jana</w:t>
      </w:r>
      <w:proofErr w:type="spellEnd"/>
      <w:r w:rsidRPr="00C26572">
        <w:rPr>
          <w:rFonts w:asciiTheme="minorHAnsi" w:hAnsiTheme="minorHAnsi"/>
          <w:b/>
        </w:rPr>
        <w:t xml:space="preserve"> Pawła II – </w:t>
      </w:r>
      <w:proofErr w:type="spellStart"/>
      <w:r w:rsidRPr="00C26572">
        <w:rPr>
          <w:rFonts w:asciiTheme="minorHAnsi" w:hAnsiTheme="minorHAnsi"/>
          <w:b/>
        </w:rPr>
        <w:t>ul.Kwiatowa</w:t>
      </w:r>
      <w:proofErr w:type="spellEnd"/>
    </w:p>
    <w:p w:rsidR="00C72FE1" w:rsidRP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C26572">
        <w:rPr>
          <w:rFonts w:asciiTheme="minorHAnsi" w:hAnsiTheme="minorHAnsi"/>
          <w:b/>
          <w:sz w:val="24"/>
          <w:szCs w:val="24"/>
        </w:rPr>
        <w:t>6</w:t>
      </w:r>
      <w:r w:rsidR="00C72FE1" w:rsidRPr="00C26572">
        <w:rPr>
          <w:rFonts w:asciiTheme="minorHAnsi" w:hAnsiTheme="minorHAnsi"/>
          <w:b/>
          <w:sz w:val="24"/>
          <w:szCs w:val="24"/>
        </w:rPr>
        <w:t xml:space="preserve">) projekt organizacji ruchu dla całego rejonu z podziałem na poszczególne </w:t>
      </w:r>
      <w:r w:rsidR="00B71955" w:rsidRPr="00C26572">
        <w:rPr>
          <w:rFonts w:asciiTheme="minorHAnsi" w:hAnsiTheme="minorHAnsi"/>
          <w:b/>
          <w:sz w:val="24"/>
          <w:szCs w:val="24"/>
        </w:rPr>
        <w:t>ulice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2.</w:t>
      </w:r>
      <w:r w:rsidRPr="00035AA9">
        <w:rPr>
          <w:rFonts w:asciiTheme="minorHAnsi" w:hAnsiTheme="minorHAnsi"/>
          <w:b/>
          <w:sz w:val="24"/>
          <w:szCs w:val="24"/>
        </w:rPr>
        <w:t xml:space="preserve"> Podstawowe założenia projektowe: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lastRenderedPageBreak/>
        <w:t xml:space="preserve">     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  <w:b/>
        </w:rPr>
      </w:pPr>
      <w:r w:rsidRPr="00C26572">
        <w:rPr>
          <w:rFonts w:ascii="Calibri" w:hAnsi="Calibri"/>
          <w:b/>
        </w:rPr>
        <w:t xml:space="preserve">Ulica Mickiewicza </w:t>
      </w:r>
      <w:r w:rsidRPr="00C26572">
        <w:rPr>
          <w:rFonts w:ascii="Calibri" w:hAnsi="Calibri"/>
        </w:rPr>
        <w:t>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 Szerokość  pasa drogowego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241644">
          <w:rPr>
            <w:rFonts w:ascii="Calibri" w:hAnsi="Calibri"/>
            <w:b/>
          </w:rPr>
          <w:t>12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 430m</w:t>
      </w:r>
      <w:r w:rsidRPr="00241644">
        <w:rPr>
          <w:rFonts w:ascii="Calibri" w:hAnsi="Calibri"/>
        </w:rPr>
        <w:t xml:space="preserve">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(</w:t>
      </w:r>
      <w:proofErr w:type="spellStart"/>
      <w:r w:rsidRPr="00241644">
        <w:rPr>
          <w:rFonts w:ascii="Calibri" w:hAnsi="Calibri"/>
        </w:rPr>
        <w:t>mikroretencja</w:t>
      </w:r>
      <w:proofErr w:type="spellEnd"/>
      <w:r w:rsidRPr="00241644">
        <w:rPr>
          <w:rFonts w:ascii="Calibri" w:hAnsi="Calibri"/>
        </w:rPr>
        <w:t>)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  <w:b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  <w:b/>
        </w:rPr>
      </w:pPr>
      <w:r w:rsidRPr="00C26572">
        <w:rPr>
          <w:rFonts w:ascii="Calibri" w:hAnsi="Calibri"/>
          <w:b/>
        </w:rPr>
        <w:t>Ulica Ejsmonda</w:t>
      </w:r>
      <w:r w:rsidRPr="00C26572">
        <w:rPr>
          <w:rFonts w:ascii="Calibri" w:hAnsi="Calibri"/>
        </w:rPr>
        <w:t>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241644">
          <w:rPr>
            <w:rFonts w:ascii="Calibri" w:hAnsi="Calibri"/>
            <w:b/>
          </w:rPr>
          <w:t>12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370 m"/>
        </w:smartTagPr>
        <w:r w:rsidRPr="00241644">
          <w:rPr>
            <w:rFonts w:ascii="Calibri" w:hAnsi="Calibri"/>
            <w:b/>
          </w:rPr>
          <w:t>370 m</w:t>
        </w:r>
      </w:smartTag>
      <w:r w:rsidRPr="00241644">
        <w:rPr>
          <w:rFonts w:ascii="Calibri" w:hAnsi="Calibri"/>
        </w:rPr>
        <w:t xml:space="preserve"> 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(</w:t>
      </w:r>
      <w:proofErr w:type="spellStart"/>
      <w:r w:rsidRPr="00241644">
        <w:rPr>
          <w:rFonts w:ascii="Calibri" w:hAnsi="Calibri"/>
        </w:rPr>
        <w:t>mikroretencja</w:t>
      </w:r>
      <w:proofErr w:type="spellEnd"/>
      <w:r w:rsidRPr="00241644">
        <w:rPr>
          <w:rFonts w:ascii="Calibri" w:hAnsi="Calibri"/>
        </w:rPr>
        <w:t>)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  <w:b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</w:rPr>
      </w:pPr>
      <w:r w:rsidRPr="00C26572">
        <w:rPr>
          <w:rFonts w:ascii="Calibri" w:hAnsi="Calibri"/>
          <w:b/>
        </w:rPr>
        <w:t>Ulica Sasanek</w:t>
      </w:r>
      <w:r w:rsidRPr="00C26572">
        <w:rPr>
          <w:rFonts w:ascii="Calibri" w:hAnsi="Calibri"/>
        </w:rPr>
        <w:t>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 xml:space="preserve">około  </w:t>
      </w:r>
      <w:smartTag w:uri="urn:schemas-microsoft-com:office:smarttags" w:element="metricconverter">
        <w:smartTagPr>
          <w:attr w:name="ProductID" w:val="8 m"/>
        </w:smartTagPr>
        <w:r w:rsidRPr="00241644">
          <w:rPr>
            <w:rFonts w:ascii="Calibri" w:hAnsi="Calibri"/>
            <w:b/>
          </w:rPr>
          <w:t>8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395m</w:t>
      </w:r>
      <w:r w:rsidRPr="00241644">
        <w:rPr>
          <w:rFonts w:ascii="Calibri" w:hAnsi="Calibri"/>
        </w:rPr>
        <w:t xml:space="preserve"> 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</w:rPr>
      </w:pPr>
      <w:r w:rsidRPr="00C26572">
        <w:rPr>
          <w:rFonts w:ascii="Calibri" w:hAnsi="Calibri"/>
          <w:b/>
        </w:rPr>
        <w:t xml:space="preserve">Ulica Głogów </w:t>
      </w:r>
      <w:r w:rsidRPr="00C26572">
        <w:rPr>
          <w:rFonts w:ascii="Calibri" w:hAnsi="Calibri"/>
        </w:rPr>
        <w:t>(Sasanek –Irysowa) 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>około  8m</w:t>
      </w:r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180m</w:t>
      </w:r>
      <w:r w:rsidRPr="00241644">
        <w:rPr>
          <w:rFonts w:ascii="Calibri" w:hAnsi="Calibri"/>
        </w:rPr>
        <w:t xml:space="preserve">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  <w:b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</w:rPr>
      </w:pPr>
      <w:r w:rsidRPr="00C26572">
        <w:rPr>
          <w:rFonts w:ascii="Calibri" w:hAnsi="Calibri"/>
          <w:b/>
        </w:rPr>
        <w:t xml:space="preserve">Ulica Storczyków </w:t>
      </w:r>
      <w:r w:rsidRPr="00C26572">
        <w:rPr>
          <w:rFonts w:ascii="Calibri" w:hAnsi="Calibri"/>
        </w:rPr>
        <w:t>(Jana Pawła II - Kwiatowa) 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8 m"/>
        </w:smartTagPr>
        <w:r w:rsidRPr="00241644">
          <w:rPr>
            <w:rFonts w:ascii="Calibri" w:hAnsi="Calibri"/>
            <w:b/>
          </w:rPr>
          <w:t>8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384m</w:t>
      </w:r>
      <w:r w:rsidRPr="00241644">
        <w:rPr>
          <w:rFonts w:ascii="Calibri" w:hAnsi="Calibri"/>
        </w:rPr>
        <w:t xml:space="preserve">  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Default="00C26572" w:rsidP="00035AA9">
      <w:pPr>
        <w:rPr>
          <w:rFonts w:asciiTheme="minorHAnsi" w:hAnsiTheme="minorHAnsi"/>
          <w:b/>
        </w:rPr>
      </w:pPr>
    </w:p>
    <w:p w:rsidR="00C72FE1" w:rsidRPr="00035AA9" w:rsidRDefault="00035AA9" w:rsidP="00C26572">
      <w:pPr>
        <w:rPr>
          <w:rFonts w:asciiTheme="minorHAnsi" w:hAnsiTheme="minorHAnsi"/>
        </w:rPr>
      </w:pPr>
      <w:r w:rsidRPr="00035AA9">
        <w:rPr>
          <w:rFonts w:asciiTheme="minorHAnsi" w:hAnsiTheme="minorHAnsi"/>
          <w:b/>
        </w:rPr>
        <w:t>1.</w:t>
      </w:r>
      <w:r w:rsidR="00C26572">
        <w:rPr>
          <w:rFonts w:asciiTheme="minorHAnsi" w:hAnsiTheme="minorHAnsi"/>
          <w:b/>
        </w:rPr>
        <w:t>6</w:t>
      </w:r>
      <w:r w:rsidR="00C72FE1" w:rsidRPr="00035AA9">
        <w:rPr>
          <w:rFonts w:asciiTheme="minorHAnsi" w:hAnsiTheme="minorHAnsi"/>
          <w:b/>
        </w:rPr>
        <w:t>)</w:t>
      </w:r>
      <w:r w:rsidR="00C72FE1" w:rsidRPr="00035AA9">
        <w:rPr>
          <w:rFonts w:asciiTheme="minorHAnsi" w:hAnsiTheme="minorHAnsi"/>
        </w:rPr>
        <w:t xml:space="preserve"> projekt organizacji ruchu całego rejonu </w:t>
      </w:r>
      <w:r w:rsidR="002F735B" w:rsidRPr="00035AA9">
        <w:rPr>
          <w:rFonts w:asciiTheme="minorHAnsi" w:hAnsiTheme="minorHAnsi"/>
        </w:rPr>
        <w:t xml:space="preserve">z podziałem na poszczególne ulice </w:t>
      </w:r>
      <w:r w:rsidR="00C72FE1" w:rsidRPr="00035AA9">
        <w:rPr>
          <w:rFonts w:asciiTheme="minorHAnsi" w:hAnsiTheme="minorHAnsi"/>
        </w:rPr>
        <w:t xml:space="preserve">ma umożliwiać wprowadzanie tych zadań etapami </w:t>
      </w:r>
      <w:r w:rsidR="002F735B" w:rsidRPr="00035AA9">
        <w:rPr>
          <w:rFonts w:asciiTheme="minorHAnsi" w:hAnsiTheme="minorHAnsi"/>
        </w:rPr>
        <w:t xml:space="preserve">w </w:t>
      </w:r>
      <w:r w:rsidR="00C72FE1" w:rsidRPr="00035AA9">
        <w:rPr>
          <w:rFonts w:asciiTheme="minorHAnsi" w:hAnsiTheme="minorHAnsi"/>
        </w:rPr>
        <w:t>celem uniknięcia utrudnień komunikacyjnych.</w:t>
      </w:r>
    </w:p>
    <w:p w:rsidR="00C72FE1" w:rsidRPr="00035AA9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Theme="minorHAnsi" w:hAnsiTheme="minorHAnsi"/>
        </w:rPr>
      </w:pPr>
    </w:p>
    <w:p w:rsid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</w:p>
    <w:p w:rsid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</w:p>
    <w:p w:rsid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lastRenderedPageBreak/>
        <w:t>Układ wysokościowy i geometryczny poszczególnych zadań musi być wzajemnie dostosowany.</w:t>
      </w:r>
    </w:p>
    <w:p w:rsidR="00C72FE1" w:rsidRPr="00035AA9" w:rsidRDefault="00C72FE1" w:rsidP="00463184">
      <w:pPr>
        <w:ind w:right="68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     </w:t>
      </w:r>
    </w:p>
    <w:p w:rsidR="00C72FE1" w:rsidRPr="00035AA9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3. Dokumentację projektową należy wykonać w formie </w:t>
      </w:r>
      <w:r w:rsidR="00C26572">
        <w:rPr>
          <w:rFonts w:asciiTheme="minorHAnsi" w:hAnsiTheme="minorHAnsi"/>
          <w:sz w:val="24"/>
          <w:szCs w:val="24"/>
        </w:rPr>
        <w:t xml:space="preserve">pięciu </w:t>
      </w:r>
      <w:r w:rsidRPr="00035AA9">
        <w:rPr>
          <w:rFonts w:asciiTheme="minorHAnsi" w:hAnsiTheme="minorHAnsi"/>
          <w:sz w:val="24"/>
          <w:szCs w:val="24"/>
        </w:rPr>
        <w:t>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  <w:r w:rsidR="00352645" w:rsidRPr="00035AA9">
        <w:rPr>
          <w:rFonts w:asciiTheme="minorHAnsi" w:hAnsiTheme="minorHAnsi"/>
          <w:sz w:val="24"/>
          <w:szCs w:val="24"/>
        </w:rPr>
        <w:t>Min. 2 spotkania konsultacyjne.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5. Wykonawca uzyska dla każdego Projektu </w:t>
      </w:r>
      <w:r w:rsidRPr="00035AA9">
        <w:rPr>
          <w:rFonts w:asciiTheme="minorHAnsi" w:hAnsiTheme="minorHAnsi"/>
          <w:sz w:val="24"/>
          <w:szCs w:val="24"/>
          <w:u w:val="single"/>
        </w:rPr>
        <w:t>komplet niezbędnych uzgodnień i opinii</w:t>
      </w:r>
      <w:r w:rsidRPr="00035AA9">
        <w:rPr>
          <w:rFonts w:asciiTheme="minorHAnsi" w:hAnsiTheme="minorHAnsi"/>
          <w:sz w:val="24"/>
          <w:szCs w:val="24"/>
        </w:rPr>
        <w:t>, a także ostateczne/prawomocne decyzje organów administracji państwowej, uprawniające do realizacji przedsięwzięć (</w:t>
      </w:r>
      <w:r w:rsidRPr="00035AA9">
        <w:rPr>
          <w:rFonts w:asciiTheme="minorHAnsi" w:hAnsiTheme="minorHAnsi"/>
          <w:b/>
          <w:sz w:val="24"/>
          <w:szCs w:val="24"/>
        </w:rPr>
        <w:t>decyzja o zatwierdzeniu projektu budowlanego i pozwoleniu na budowę lub równoważnej wymaganej prawem</w:t>
      </w:r>
      <w:r w:rsidRPr="00035AA9">
        <w:rPr>
          <w:rFonts w:asciiTheme="minorHAnsi" w:hAnsiTheme="minorHAnsi"/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8. Wykonawca zobowiązany jest wykonać przedmiot Umowy zgodnie z zasadami aktualnej wiedzy technicznej oraz obowiązującymi przepisami prawa, a w szczególności z ustawą z dnia 7 lipca 1994 r. Prawo budowlane (Dz. U. z 2013 r. poz. 1409 z </w:t>
      </w:r>
      <w:proofErr w:type="spellStart"/>
      <w:r w:rsidRPr="005F7B24">
        <w:rPr>
          <w:rFonts w:ascii="Calibri" w:hAnsi="Calibri"/>
        </w:rPr>
        <w:t>późn</w:t>
      </w:r>
      <w:proofErr w:type="spellEnd"/>
      <w:r w:rsidRPr="005F7B24">
        <w:rPr>
          <w:rFonts w:ascii="Calibri" w:hAnsi="Calibri"/>
        </w:rPr>
        <w:t xml:space="preserve">. zm.), Rozporządzeniem Ministra Transportu, Budownictwa i Gospodarki Morskiej z dnia 25 kwietnia 2012 r. w sprawie szczegółowego zakresu i formy projektu budowlanego (Dz. U. z 2012 </w:t>
      </w:r>
      <w:proofErr w:type="spellStart"/>
      <w:r w:rsidRPr="005F7B24">
        <w:rPr>
          <w:rFonts w:ascii="Calibri" w:hAnsi="Calibri"/>
        </w:rPr>
        <w:t>pz</w:t>
      </w:r>
      <w:proofErr w:type="spellEnd"/>
      <w:r w:rsidRPr="005F7B24">
        <w:rPr>
          <w:rFonts w:ascii="Calibri" w:hAnsi="Calibri"/>
        </w:rPr>
        <w:t xml:space="preserve">. 462), Rozporządzeniem Ministra Infrastruktury z dnia 2 września 2004 r. w sprawie szczegółowego zakresu i form dokumentacji projektowej, specyfikacji technicznych wykonania i odbioru robót budowlanych oraz programu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– użytkowego (Dz. U. z 2013r. poz. 1129 ze zm.), Rozporządzeniem Ministra Transportu i Gospodarki Morskiej z dnia 2 marca 1999 r. w sprawie warunków technicznych, jakim powinny odpowiadać drogi publiczne i ich usytuowanie (Dz. U. z 1990  Nr 43, poz. 430 z </w:t>
      </w:r>
      <w:proofErr w:type="spellStart"/>
      <w:r w:rsidRPr="005F7B24">
        <w:rPr>
          <w:rFonts w:ascii="Calibri" w:hAnsi="Calibri"/>
        </w:rPr>
        <w:t>póź</w:t>
      </w:r>
      <w:proofErr w:type="spellEnd"/>
      <w:r w:rsidRPr="005F7B24">
        <w:rPr>
          <w:rFonts w:ascii="Calibri" w:hAnsi="Calibri"/>
        </w:rPr>
        <w:t>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2F735B">
        <w:rPr>
          <w:b/>
          <w:sz w:val="24"/>
          <w:szCs w:val="24"/>
        </w:rPr>
        <w:t xml:space="preserve">100 dni </w:t>
      </w:r>
      <w:r w:rsidRPr="005F7B24">
        <w:rPr>
          <w:sz w:val="24"/>
          <w:szCs w:val="24"/>
        </w:rPr>
        <w:t xml:space="preserve">od dnia  zawarcia Umowy  (ust. 2 pkt 1) niniejszego paragrafu). Termin, powyżej wskazany, 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</w:t>
      </w:r>
      <w:r w:rsidR="007126A3">
        <w:rPr>
          <w:sz w:val="24"/>
          <w:szCs w:val="24"/>
        </w:rPr>
        <w:t>…</w:t>
      </w:r>
      <w:r w:rsidRPr="005F7B24">
        <w:rPr>
          <w:sz w:val="24"/>
          <w:szCs w:val="24"/>
        </w:rPr>
        <w:t>…..2016r. (ust. 2 pkt 2) niniejszego paragrafu). Termin poczytuje się za dotrzymany w przypadku 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 w:rsidR="00C72FE1"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035AA9" w:rsidRPr="005F7B24" w:rsidRDefault="00035AA9" w:rsidP="00035AA9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>
        <w:rPr>
          <w:rFonts w:ascii="Calibri" w:hAnsi="Calibri"/>
          <w:b/>
        </w:rPr>
        <w:t>4</w:t>
      </w:r>
    </w:p>
    <w:p w:rsidR="00035AA9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035AA9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……………………………………………………..………………………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26572" w:rsidRPr="005F7B24" w:rsidRDefault="00C26572" w:rsidP="00C26572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>
        <w:rPr>
          <w:rFonts w:ascii="Calibri" w:hAnsi="Calibri"/>
          <w:b/>
        </w:rPr>
        <w:t>5</w:t>
      </w:r>
    </w:p>
    <w:p w:rsidR="00C26572" w:rsidRDefault="00C26572" w:rsidP="00C26572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C26572" w:rsidRPr="005F7B24" w:rsidRDefault="00C26572" w:rsidP="00C26572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……………………………………………………..………………………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26572" w:rsidRPr="005F7B24" w:rsidRDefault="00C26572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035AA9" w:rsidRDefault="00035AA9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 w:rsidR="00C26572">
        <w:rPr>
          <w:rFonts w:ascii="Calibri" w:hAnsi="Calibri"/>
          <w:b/>
        </w:rPr>
        <w:t>6</w:t>
      </w:r>
      <w:r w:rsidRPr="005F7B24">
        <w:rPr>
          <w:rFonts w:ascii="Calibri" w:hAnsi="Calibri"/>
          <w:b/>
        </w:rPr>
        <w:t xml:space="preserve">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 xml:space="preserve">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</w:t>
      </w:r>
      <w:r w:rsidR="0021077E">
        <w:rPr>
          <w:rFonts w:ascii="Calibri" w:hAnsi="Calibri"/>
        </w:rPr>
        <w:t>7</w:t>
      </w:r>
      <w:r w:rsidRPr="005F7B24">
        <w:rPr>
          <w:rFonts w:ascii="Calibri" w:hAnsi="Calibri"/>
        </w:rPr>
        <w:t xml:space="preserve">0 % wartości wynagrodzenia brutto liczonego od wartości 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8A143C" w:rsidRDefault="008A143C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0" w:name="OLE_LINK3"/>
      <w:bookmarkStart w:id="1" w:name="OLE_LINK4"/>
      <w:r w:rsidRPr="005F7B24">
        <w:rPr>
          <w:rFonts w:ascii="Calibri" w:hAnsi="Calibri"/>
        </w:rPr>
        <w:t>Zamawiającego</w:t>
      </w:r>
      <w:bookmarkEnd w:id="0"/>
      <w:bookmarkEnd w:id="1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Zamawiający jest upoważniony do domagania się od Projektanta odszkodowania na zasadach 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bookmarkStart w:id="2" w:name="_GoBack"/>
      <w:bookmarkEnd w:id="2"/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Zamawiający zgodnie z art. 144 ust. 1 ustawy </w:t>
      </w:r>
      <w:proofErr w:type="spellStart"/>
      <w:r w:rsidRPr="00463184">
        <w:rPr>
          <w:rFonts w:ascii="Cambria" w:hAnsi="Cambria"/>
        </w:rPr>
        <w:t>Pzp</w:t>
      </w:r>
      <w:proofErr w:type="spellEnd"/>
      <w:r w:rsidRPr="00463184">
        <w:rPr>
          <w:rFonts w:ascii="Cambria" w:hAnsi="Cambria"/>
        </w:rPr>
        <w:t xml:space="preserve">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lastRenderedPageBreak/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>pojawienie się na rynku materiałów nowszej generacji pozwalających na zaoszczędzenie kosztów realizacji przedmiotu Umowy, z tym, że wszystkie 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</w:t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Pr="005F7B24">
        <w:rPr>
          <w:rFonts w:ascii="Calibri" w:hAnsi="Calibri"/>
          <w:b/>
        </w:rPr>
        <w:t xml:space="preserve">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  <w:proofErr w:type="spellStart"/>
      <w:r>
        <w:rPr>
          <w:rFonts w:ascii="Calibri" w:hAnsi="Calibri"/>
        </w:rPr>
        <w:t>Załaczniki</w:t>
      </w:r>
      <w:proofErr w:type="spellEnd"/>
      <w:r>
        <w:rPr>
          <w:rFonts w:ascii="Calibri" w:hAnsi="Calibri"/>
        </w:rPr>
        <w:t>:</w:t>
      </w: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A6" w:rsidRDefault="001738A6" w:rsidP="008A6827">
      <w:r>
        <w:separator/>
      </w:r>
    </w:p>
  </w:endnote>
  <w:endnote w:type="continuationSeparator" w:id="0">
    <w:p w:rsidR="001738A6" w:rsidRDefault="001738A6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572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A6" w:rsidRDefault="001738A6" w:rsidP="008A6827">
      <w:r>
        <w:separator/>
      </w:r>
    </w:p>
  </w:footnote>
  <w:footnote w:type="continuationSeparator" w:id="0">
    <w:p w:rsidR="001738A6" w:rsidRDefault="001738A6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2350CA"/>
    <w:multiLevelType w:val="multilevel"/>
    <w:tmpl w:val="285258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C3E05"/>
    <w:multiLevelType w:val="multilevel"/>
    <w:tmpl w:val="224630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BF6F3D"/>
    <w:multiLevelType w:val="multilevel"/>
    <w:tmpl w:val="038416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8" w15:restartNumberingAfterBreak="0">
    <w:nsid w:val="74F35D03"/>
    <w:multiLevelType w:val="multilevel"/>
    <w:tmpl w:val="FEE09F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Arial" w:hint="default"/>
        <w:b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Arial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Arial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Arial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b/>
        <w:sz w:val="22"/>
      </w:rPr>
    </w:lvl>
  </w:abstractNum>
  <w:abstractNum w:abstractNumId="29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18"/>
  </w:num>
  <w:num w:numId="12">
    <w:abstractNumId w:val="26"/>
  </w:num>
  <w:num w:numId="13">
    <w:abstractNumId w:val="6"/>
  </w:num>
  <w:num w:numId="14">
    <w:abstractNumId w:val="10"/>
  </w:num>
  <w:num w:numId="15">
    <w:abstractNumId w:val="2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5"/>
  </w:num>
  <w:num w:numId="26">
    <w:abstractNumId w:val="16"/>
  </w:num>
  <w:num w:numId="27">
    <w:abstractNumId w:val="24"/>
  </w:num>
  <w:num w:numId="28">
    <w:abstractNumId w:val="28"/>
  </w:num>
  <w:num w:numId="29">
    <w:abstractNumId w:val="3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35AA9"/>
    <w:rsid w:val="000638EE"/>
    <w:rsid w:val="00063ED2"/>
    <w:rsid w:val="00076DEB"/>
    <w:rsid w:val="00080169"/>
    <w:rsid w:val="00086515"/>
    <w:rsid w:val="000929D0"/>
    <w:rsid w:val="00092FC6"/>
    <w:rsid w:val="000946D8"/>
    <w:rsid w:val="000D4DBD"/>
    <w:rsid w:val="000D4E64"/>
    <w:rsid w:val="000E2A29"/>
    <w:rsid w:val="000E4045"/>
    <w:rsid w:val="001238F4"/>
    <w:rsid w:val="00152ADE"/>
    <w:rsid w:val="00160E9D"/>
    <w:rsid w:val="00171138"/>
    <w:rsid w:val="001738A6"/>
    <w:rsid w:val="00181C89"/>
    <w:rsid w:val="001864C5"/>
    <w:rsid w:val="00186F20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077E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5768"/>
    <w:rsid w:val="002862A5"/>
    <w:rsid w:val="00291DEC"/>
    <w:rsid w:val="002A05DF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0ADB"/>
    <w:rsid w:val="00350FEE"/>
    <w:rsid w:val="00352645"/>
    <w:rsid w:val="003536E9"/>
    <w:rsid w:val="00361AD6"/>
    <w:rsid w:val="00367D0B"/>
    <w:rsid w:val="003B05DD"/>
    <w:rsid w:val="003C3A65"/>
    <w:rsid w:val="003C5B6C"/>
    <w:rsid w:val="003E05A1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60EEC"/>
    <w:rsid w:val="0056708D"/>
    <w:rsid w:val="00571993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D4404"/>
    <w:rsid w:val="006E7E44"/>
    <w:rsid w:val="006F3536"/>
    <w:rsid w:val="006F7C8B"/>
    <w:rsid w:val="0070068C"/>
    <w:rsid w:val="007060C9"/>
    <w:rsid w:val="007126A3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27010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143C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53532"/>
    <w:rsid w:val="00A77FA6"/>
    <w:rsid w:val="00A951DB"/>
    <w:rsid w:val="00AA46BD"/>
    <w:rsid w:val="00AA77AA"/>
    <w:rsid w:val="00AB2B94"/>
    <w:rsid w:val="00AB3F05"/>
    <w:rsid w:val="00AC0889"/>
    <w:rsid w:val="00AC1CC4"/>
    <w:rsid w:val="00AF06DB"/>
    <w:rsid w:val="00AF23CF"/>
    <w:rsid w:val="00B03D1E"/>
    <w:rsid w:val="00B129C4"/>
    <w:rsid w:val="00B179A8"/>
    <w:rsid w:val="00B35B68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26572"/>
    <w:rsid w:val="00C3675B"/>
    <w:rsid w:val="00C4118E"/>
    <w:rsid w:val="00C43069"/>
    <w:rsid w:val="00C4487A"/>
    <w:rsid w:val="00C56786"/>
    <w:rsid w:val="00C61E67"/>
    <w:rsid w:val="00C67AE1"/>
    <w:rsid w:val="00C67B70"/>
    <w:rsid w:val="00C72FE1"/>
    <w:rsid w:val="00C869BD"/>
    <w:rsid w:val="00C9211E"/>
    <w:rsid w:val="00CB0126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DF3987"/>
    <w:rsid w:val="00E07985"/>
    <w:rsid w:val="00E37318"/>
    <w:rsid w:val="00E42FC1"/>
    <w:rsid w:val="00E43313"/>
    <w:rsid w:val="00E46879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DEE"/>
    <w:rsid w:val="00F65E9F"/>
    <w:rsid w:val="00F86B53"/>
    <w:rsid w:val="00F86F1F"/>
    <w:rsid w:val="00FA3BA8"/>
    <w:rsid w:val="00FA5693"/>
    <w:rsid w:val="00FA5900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0B1F2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3</cp:revision>
  <cp:lastPrinted>2015-08-20T08:19:00Z</cp:lastPrinted>
  <dcterms:created xsi:type="dcterms:W3CDTF">2016-07-27T09:30:00Z</dcterms:created>
  <dcterms:modified xsi:type="dcterms:W3CDTF">2016-07-27T09:36:00Z</dcterms:modified>
</cp:coreProperties>
</file>